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57565" w14:textId="77C653BA" w:rsidR="007F1EFD" w:rsidRPr="00247B3B" w:rsidRDefault="007F1EFD" w:rsidP="004A7B34">
      <w:pPr>
        <w:spacing w:line="276" w:lineRule="auto"/>
        <w:jc w:val="center"/>
        <w:rPr>
          <w:rFonts w:asciiTheme="majorBidi" w:hAnsiTheme="majorBidi" w:cstheme="majorBidi"/>
          <w:b/>
          <w:bCs/>
          <w:sz w:val="36"/>
          <w:szCs w:val="36"/>
        </w:rPr>
      </w:pPr>
      <w:r w:rsidRPr="00247B3B">
        <w:rPr>
          <w:rFonts w:asciiTheme="majorBidi" w:hAnsiTheme="majorBidi" w:cstheme="majorBidi"/>
          <w:b/>
          <w:bCs/>
          <w:sz w:val="36"/>
          <w:szCs w:val="36"/>
        </w:rPr>
        <w:t>YKL-40 as a novel diagnostic biomarker in Toxoplasmosis</w:t>
      </w:r>
    </w:p>
    <w:p w14:paraId="00656BED" w14:textId="77777777" w:rsidR="007F1EFD" w:rsidRPr="007F1EFD" w:rsidRDefault="007F1EFD" w:rsidP="003C2993">
      <w:pPr>
        <w:spacing w:line="276" w:lineRule="auto"/>
        <w:jc w:val="center"/>
        <w:rPr>
          <w:rFonts w:asciiTheme="majorBidi" w:hAnsiTheme="majorBidi" w:cstheme="majorBidi"/>
          <w:b/>
          <w:bCs/>
          <w:sz w:val="24"/>
          <w:szCs w:val="24"/>
          <w:lang w:val="en-GB"/>
        </w:rPr>
      </w:pPr>
      <w:r w:rsidRPr="007F1EFD">
        <w:rPr>
          <w:rFonts w:asciiTheme="majorBidi" w:hAnsiTheme="majorBidi" w:cstheme="majorBidi"/>
          <w:b/>
          <w:bCs/>
          <w:sz w:val="24"/>
          <w:szCs w:val="24"/>
          <w:lang w:val="en-GB"/>
        </w:rPr>
        <w:t>Farah Abd AL-Zahra Shahad</w:t>
      </w:r>
      <w:r w:rsidRPr="007F1EFD">
        <w:rPr>
          <w:rFonts w:asciiTheme="majorBidi" w:hAnsiTheme="majorBidi" w:cstheme="majorBidi"/>
          <w:b/>
          <w:bCs/>
          <w:sz w:val="24"/>
          <w:szCs w:val="24"/>
          <w:vertAlign w:val="superscript"/>
          <w:lang w:val="en-GB"/>
        </w:rPr>
        <w:t>1</w:t>
      </w:r>
      <w:r w:rsidRPr="007F1EFD">
        <w:rPr>
          <w:rFonts w:asciiTheme="majorBidi" w:hAnsiTheme="majorBidi" w:cstheme="majorBidi"/>
          <w:b/>
          <w:bCs/>
          <w:sz w:val="24"/>
          <w:szCs w:val="24"/>
          <w:lang w:val="en-GB"/>
        </w:rPr>
        <w:t>, Ahmed A. Mohammed</w:t>
      </w:r>
      <w:r w:rsidRPr="007F1EFD">
        <w:rPr>
          <w:rFonts w:asciiTheme="majorBidi" w:hAnsiTheme="majorBidi" w:cstheme="majorBidi"/>
          <w:b/>
          <w:bCs/>
          <w:sz w:val="24"/>
          <w:szCs w:val="24"/>
          <w:vertAlign w:val="superscript"/>
          <w:lang w:val="en-GB"/>
        </w:rPr>
        <w:t>1</w:t>
      </w:r>
      <w:r w:rsidRPr="007F1EFD">
        <w:rPr>
          <w:rFonts w:asciiTheme="majorBidi" w:hAnsiTheme="majorBidi" w:cstheme="majorBidi"/>
          <w:b/>
          <w:bCs/>
          <w:sz w:val="24"/>
          <w:szCs w:val="24"/>
          <w:lang w:val="en-GB"/>
        </w:rPr>
        <w:t xml:space="preserve">, </w:t>
      </w:r>
      <w:proofErr w:type="spellStart"/>
      <w:r w:rsidRPr="007F1EFD">
        <w:rPr>
          <w:rFonts w:asciiTheme="majorBidi" w:hAnsiTheme="majorBidi" w:cstheme="majorBidi"/>
          <w:b/>
          <w:bCs/>
          <w:sz w:val="24"/>
          <w:szCs w:val="24"/>
          <w:lang w:val="en-GB"/>
        </w:rPr>
        <w:t>Ghaith</w:t>
      </w:r>
      <w:proofErr w:type="spellEnd"/>
      <w:r w:rsidRPr="007F1EFD">
        <w:rPr>
          <w:rFonts w:asciiTheme="majorBidi" w:hAnsiTheme="majorBidi" w:cstheme="majorBidi"/>
          <w:b/>
          <w:bCs/>
          <w:sz w:val="24"/>
          <w:szCs w:val="24"/>
          <w:lang w:val="en-GB"/>
        </w:rPr>
        <w:t xml:space="preserve"> Ali Jasim</w:t>
      </w:r>
      <w:r w:rsidRPr="007F1EFD">
        <w:rPr>
          <w:rFonts w:asciiTheme="majorBidi" w:hAnsiTheme="majorBidi" w:cstheme="majorBidi"/>
          <w:b/>
          <w:bCs/>
          <w:sz w:val="24"/>
          <w:szCs w:val="24"/>
          <w:vertAlign w:val="superscript"/>
          <w:lang w:val="en-GB"/>
        </w:rPr>
        <w:t>2</w:t>
      </w:r>
    </w:p>
    <w:p w14:paraId="41389514" w14:textId="32BC0725" w:rsidR="004C1310" w:rsidRPr="007F1EFD" w:rsidRDefault="007F1EFD" w:rsidP="004C1310">
      <w:pPr>
        <w:tabs>
          <w:tab w:val="left" w:pos="7513"/>
        </w:tabs>
        <w:spacing w:line="276" w:lineRule="auto"/>
        <w:ind w:right="-58"/>
        <w:jc w:val="center"/>
        <w:rPr>
          <w:rFonts w:asciiTheme="majorBidi" w:hAnsiTheme="majorBidi" w:cstheme="majorBidi"/>
          <w:lang w:val="en-GB"/>
        </w:rPr>
      </w:pPr>
      <w:r w:rsidRPr="007F1EFD">
        <w:rPr>
          <w:rFonts w:asciiTheme="majorBidi" w:hAnsiTheme="majorBidi" w:cstheme="majorBidi"/>
          <w:vertAlign w:val="superscript"/>
          <w:lang w:val="en-GB"/>
        </w:rPr>
        <w:t>1</w:t>
      </w:r>
      <w:r w:rsidRPr="00697FCB">
        <w:rPr>
          <w:rFonts w:asciiTheme="majorBidi" w:hAnsiTheme="majorBidi" w:cstheme="majorBidi"/>
          <w:vertAlign w:val="superscript"/>
          <w:lang w:val="en-GB"/>
        </w:rPr>
        <w:t xml:space="preserve"> </w:t>
      </w:r>
      <w:r w:rsidRPr="00697FCB">
        <w:rPr>
          <w:rFonts w:asciiTheme="majorBidi" w:hAnsiTheme="majorBidi" w:cstheme="majorBidi"/>
        </w:rPr>
        <w:t xml:space="preserve">Branch </w:t>
      </w:r>
      <w:r w:rsidRPr="007F1EFD">
        <w:rPr>
          <w:rFonts w:asciiTheme="majorBidi" w:hAnsiTheme="majorBidi" w:cstheme="majorBidi"/>
          <w:lang w:val="en-GB"/>
        </w:rPr>
        <w:t>of Clinical Laboratory sciences,</w:t>
      </w:r>
      <w:r w:rsidR="004C1310" w:rsidRPr="004C1310">
        <w:rPr>
          <w:rFonts w:asciiTheme="majorBidi" w:hAnsiTheme="majorBidi" w:cstheme="majorBidi"/>
        </w:rPr>
        <w:t xml:space="preserve"> </w:t>
      </w:r>
      <w:r w:rsidR="004C1310" w:rsidRPr="007F1EFD">
        <w:rPr>
          <w:rFonts w:asciiTheme="majorBidi" w:hAnsiTheme="majorBidi" w:cstheme="majorBidi"/>
        </w:rPr>
        <w:t xml:space="preserve">College of Pharmacy, University of </w:t>
      </w:r>
      <w:proofErr w:type="spellStart"/>
      <w:r w:rsidR="004C1310" w:rsidRPr="007F1EFD">
        <w:rPr>
          <w:rFonts w:asciiTheme="majorBidi" w:hAnsiTheme="majorBidi" w:cstheme="majorBidi"/>
        </w:rPr>
        <w:t>Mustansiriyah</w:t>
      </w:r>
      <w:proofErr w:type="spellEnd"/>
      <w:r w:rsidR="004C1310" w:rsidRPr="007F1EFD">
        <w:rPr>
          <w:rFonts w:asciiTheme="majorBidi" w:hAnsiTheme="majorBidi" w:cstheme="majorBidi"/>
        </w:rPr>
        <w:t>, Baghdad, Iraq.</w:t>
      </w:r>
    </w:p>
    <w:p w14:paraId="4DEA1A78" w14:textId="60EBBFFA" w:rsidR="007F1EFD" w:rsidRPr="007F1EFD" w:rsidRDefault="007F1EFD" w:rsidP="00697FCB">
      <w:pPr>
        <w:tabs>
          <w:tab w:val="left" w:pos="7513"/>
        </w:tabs>
        <w:spacing w:line="276" w:lineRule="auto"/>
        <w:ind w:right="-58"/>
        <w:jc w:val="center"/>
        <w:rPr>
          <w:rFonts w:asciiTheme="majorBidi" w:hAnsiTheme="majorBidi" w:cstheme="majorBidi"/>
          <w:lang w:val="en-GB"/>
        </w:rPr>
      </w:pPr>
      <w:r w:rsidRPr="007F1EFD">
        <w:rPr>
          <w:rFonts w:asciiTheme="majorBidi" w:hAnsiTheme="majorBidi" w:cstheme="majorBidi"/>
        </w:rPr>
        <w:t xml:space="preserve"> </w:t>
      </w:r>
      <w:r w:rsidRPr="00697FCB">
        <w:rPr>
          <w:rFonts w:asciiTheme="majorBidi" w:hAnsiTheme="majorBidi" w:cstheme="majorBidi"/>
          <w:vertAlign w:val="superscript"/>
          <w:lang w:val="en-GB"/>
        </w:rPr>
        <w:t xml:space="preserve">2  </w:t>
      </w:r>
      <w:r w:rsidRPr="00697FCB">
        <w:rPr>
          <w:rFonts w:asciiTheme="majorBidi" w:hAnsiTheme="majorBidi" w:cstheme="majorBidi"/>
        </w:rPr>
        <w:t xml:space="preserve">Branch </w:t>
      </w:r>
      <w:r w:rsidRPr="00697FCB">
        <w:rPr>
          <w:rFonts w:asciiTheme="majorBidi" w:hAnsiTheme="majorBidi" w:cstheme="majorBidi"/>
          <w:lang w:val="en-GB"/>
        </w:rPr>
        <w:t>of Pharmacology &amp; Toxicology,</w:t>
      </w:r>
      <w:r w:rsidRPr="007F1EFD">
        <w:rPr>
          <w:rFonts w:asciiTheme="majorBidi" w:hAnsiTheme="majorBidi" w:cstheme="majorBidi"/>
        </w:rPr>
        <w:t>College of Pharmacy, University of Mustansiriyah, Baghdad, Iraq.</w:t>
      </w:r>
    </w:p>
    <w:p w14:paraId="4285477C" w14:textId="62503B0F" w:rsidR="007F1EFD" w:rsidRDefault="007F1EFD" w:rsidP="00697FCB">
      <w:pPr>
        <w:spacing w:line="276" w:lineRule="auto"/>
        <w:ind w:right="-58"/>
        <w:jc w:val="both"/>
        <w:rPr>
          <w:rFonts w:asciiTheme="majorBidi" w:hAnsiTheme="majorBidi" w:cstheme="majorBidi"/>
        </w:rPr>
      </w:pPr>
      <w:r w:rsidRPr="00697FCB">
        <w:rPr>
          <w:rFonts w:asciiTheme="majorBidi" w:hAnsiTheme="majorBidi" w:cstheme="majorBidi"/>
          <w:b/>
          <w:bCs/>
        </w:rPr>
        <w:t xml:space="preserve">Correspondence Author: </w:t>
      </w:r>
      <w:r w:rsidRPr="007F1EFD">
        <w:rPr>
          <w:rFonts w:asciiTheme="majorBidi" w:hAnsiTheme="majorBidi" w:cstheme="majorBidi"/>
          <w:lang w:val="en-GB"/>
        </w:rPr>
        <w:t>Farah Abd AL-Zahra Shahad</w:t>
      </w:r>
      <w:r w:rsidRPr="00697FCB">
        <w:rPr>
          <w:rFonts w:asciiTheme="majorBidi" w:hAnsiTheme="majorBidi" w:cstheme="majorBidi"/>
        </w:rPr>
        <w:t xml:space="preserve">, College of Pharmacy, </w:t>
      </w:r>
      <w:r w:rsidR="003E2648" w:rsidRPr="00697FCB">
        <w:rPr>
          <w:rFonts w:asciiTheme="majorBidi" w:hAnsiTheme="majorBidi" w:cstheme="majorBidi"/>
        </w:rPr>
        <w:t xml:space="preserve">Branch </w:t>
      </w:r>
      <w:r w:rsidR="003E2648" w:rsidRPr="007F1EFD">
        <w:rPr>
          <w:rFonts w:asciiTheme="majorBidi" w:hAnsiTheme="majorBidi" w:cstheme="majorBidi"/>
          <w:lang w:val="en-GB"/>
        </w:rPr>
        <w:t>of Clinical Laboratory sciences</w:t>
      </w:r>
      <w:r w:rsidRPr="00697FCB">
        <w:rPr>
          <w:rFonts w:asciiTheme="majorBidi" w:hAnsiTheme="majorBidi" w:cstheme="majorBidi"/>
        </w:rPr>
        <w:t>, Baghdad-Iraq. E-mail:</w:t>
      </w:r>
      <w:r w:rsidR="003E2648" w:rsidRPr="00697FCB">
        <w:rPr>
          <w:rFonts w:asciiTheme="majorBidi" w:hAnsiTheme="majorBidi" w:cstheme="majorBidi"/>
        </w:rPr>
        <w:t xml:space="preserve"> </w:t>
      </w:r>
      <w:hyperlink r:id="rId5" w:history="1">
        <w:r w:rsidR="003E2648" w:rsidRPr="00697FCB">
          <w:rPr>
            <w:rStyle w:val="Hyperlink"/>
            <w:rFonts w:asciiTheme="majorBidi" w:hAnsiTheme="majorBidi" w:cstheme="majorBidi"/>
          </w:rPr>
          <w:t>ferryph3589@gmail.com</w:t>
        </w:r>
      </w:hyperlink>
    </w:p>
    <w:p w14:paraId="2010A276" w14:textId="77777777" w:rsidR="00247B3B" w:rsidRPr="00F0157B" w:rsidRDefault="00247B3B" w:rsidP="00247B3B">
      <w:pPr>
        <w:spacing w:after="0" w:line="276" w:lineRule="auto"/>
        <w:jc w:val="both"/>
        <w:rPr>
          <w:rFonts w:asciiTheme="majorBidi" w:eastAsia="Calibri" w:hAnsiTheme="majorBidi" w:cstheme="majorBidi"/>
          <w:b/>
          <w:bCs/>
          <w:sz w:val="24"/>
          <w:szCs w:val="24"/>
          <w:lang w:val="en-GB"/>
        </w:rPr>
      </w:pPr>
      <w:bookmarkStart w:id="0" w:name="_Hlk102609397"/>
      <w:r w:rsidRPr="00F0157B">
        <w:rPr>
          <w:rFonts w:asciiTheme="majorBidi" w:eastAsia="Calibri" w:hAnsiTheme="majorBidi" w:cstheme="majorBidi"/>
          <w:b/>
          <w:bCs/>
          <w:sz w:val="24"/>
          <w:szCs w:val="24"/>
          <w:lang w:val="en-GB"/>
        </w:rPr>
        <w:t>ORCID</w:t>
      </w:r>
    </w:p>
    <w:p w14:paraId="3935470F" w14:textId="77777777" w:rsidR="00247B3B" w:rsidRDefault="00247B3B" w:rsidP="00247B3B">
      <w:pPr>
        <w:spacing w:after="0" w:line="276" w:lineRule="auto"/>
        <w:jc w:val="both"/>
        <w:rPr>
          <w:rFonts w:asciiTheme="majorBidi" w:eastAsia="Calibri" w:hAnsiTheme="majorBidi" w:cstheme="majorBidi"/>
          <w:sz w:val="24"/>
          <w:szCs w:val="24"/>
          <w:lang w:val="en-GB"/>
        </w:rPr>
      </w:pPr>
      <w:r w:rsidRPr="00F0157B">
        <w:rPr>
          <w:rFonts w:asciiTheme="majorBidi" w:eastAsia="Calibri" w:hAnsiTheme="majorBidi" w:cstheme="majorBidi"/>
          <w:sz w:val="24"/>
          <w:szCs w:val="24"/>
          <w:lang w:val="en-GB"/>
        </w:rPr>
        <w:t>A. A. Mohammed</w:t>
      </w:r>
      <w:r w:rsidRPr="00F0157B">
        <w:rPr>
          <w:rFonts w:asciiTheme="majorBidi" w:eastAsia="Calibri" w:hAnsiTheme="majorBidi" w:cstheme="majorBidi"/>
          <w:i/>
          <w:iCs/>
          <w:sz w:val="24"/>
          <w:szCs w:val="24"/>
          <w:lang w:val="en-GB"/>
        </w:rPr>
        <w:t xml:space="preserve"> </w:t>
      </w:r>
      <w:hyperlink r:id="rId6" w:history="1">
        <w:r w:rsidRPr="003D5AB2">
          <w:rPr>
            <w:rStyle w:val="Hyperlink"/>
            <w:rFonts w:asciiTheme="majorBidi" w:eastAsia="Calibri" w:hAnsiTheme="majorBidi" w:cstheme="majorBidi"/>
            <w:sz w:val="24"/>
            <w:szCs w:val="24"/>
            <w:lang w:val="en-GB"/>
          </w:rPr>
          <w:t>http://orcid.org/0000-0001-5147-4861</w:t>
        </w:r>
      </w:hyperlink>
      <w:bookmarkEnd w:id="0"/>
    </w:p>
    <w:p w14:paraId="3AF69075" w14:textId="77777777" w:rsidR="00247B3B" w:rsidRPr="00247B3B" w:rsidRDefault="00247B3B" w:rsidP="00697FCB">
      <w:pPr>
        <w:spacing w:line="276" w:lineRule="auto"/>
        <w:ind w:right="-58"/>
        <w:jc w:val="both"/>
        <w:rPr>
          <w:rFonts w:asciiTheme="majorBidi" w:hAnsiTheme="majorBidi" w:cstheme="majorBidi"/>
          <w:lang w:val="en-GB"/>
        </w:rPr>
      </w:pPr>
    </w:p>
    <w:p w14:paraId="58FFD623" w14:textId="77777777" w:rsidR="003E2648" w:rsidRDefault="003E2648" w:rsidP="003C2993">
      <w:pPr>
        <w:spacing w:line="276" w:lineRule="auto"/>
        <w:ind w:left="426" w:right="368"/>
        <w:jc w:val="both"/>
        <w:rPr>
          <w:rFonts w:asciiTheme="majorBidi" w:hAnsiTheme="majorBidi" w:cstheme="majorBidi"/>
          <w:sz w:val="24"/>
          <w:szCs w:val="24"/>
        </w:rPr>
      </w:pPr>
    </w:p>
    <w:p w14:paraId="393CC84B" w14:textId="6BDBC99E" w:rsidR="007F1EFD" w:rsidRDefault="007F1EFD" w:rsidP="001B1A34">
      <w:pPr>
        <w:spacing w:line="276" w:lineRule="auto"/>
        <w:jc w:val="both"/>
        <w:rPr>
          <w:rFonts w:asciiTheme="majorBidi" w:eastAsia="Calibri" w:hAnsiTheme="majorBidi" w:cstheme="majorBidi"/>
          <w:sz w:val="24"/>
          <w:szCs w:val="24"/>
        </w:rPr>
      </w:pPr>
      <w:r w:rsidRPr="007F1EFD">
        <w:rPr>
          <w:rFonts w:asciiTheme="majorBidi" w:eastAsia="Calibri" w:hAnsiTheme="majorBidi" w:cstheme="majorBidi"/>
          <w:b/>
          <w:bCs/>
          <w:sz w:val="24"/>
          <w:szCs w:val="24"/>
        </w:rPr>
        <w:t>Abstract:</w:t>
      </w:r>
      <w:r w:rsidRPr="007F1EFD">
        <w:rPr>
          <w:rFonts w:asciiTheme="majorBidi" w:eastAsia="Calibri" w:hAnsiTheme="majorBidi" w:cstheme="majorBidi"/>
          <w:sz w:val="24"/>
          <w:szCs w:val="24"/>
        </w:rPr>
        <w:t xml:space="preserve"> </w:t>
      </w:r>
      <w:bookmarkStart w:id="1" w:name="_Hlk101797369"/>
      <w:r w:rsidRPr="007F1EFD">
        <w:rPr>
          <w:rFonts w:asciiTheme="majorBidi" w:eastAsia="Calibri" w:hAnsiTheme="majorBidi" w:cstheme="majorBidi"/>
          <w:sz w:val="24"/>
          <w:szCs w:val="24"/>
        </w:rPr>
        <w:t>Toxoplasmosis is one of the most globally prevalent zoonotic infection caused by an obligate, intracellular parasite called </w:t>
      </w:r>
      <w:r w:rsidRPr="007F1EFD">
        <w:rPr>
          <w:rFonts w:asciiTheme="majorBidi" w:eastAsia="Calibri" w:hAnsiTheme="majorBidi" w:cstheme="majorBidi"/>
          <w:i/>
          <w:iCs/>
          <w:sz w:val="24"/>
          <w:szCs w:val="24"/>
        </w:rPr>
        <w:t>Toxoplasma gondii</w:t>
      </w:r>
      <w:r w:rsidRPr="007F1EFD">
        <w:rPr>
          <w:rFonts w:asciiTheme="majorBidi" w:eastAsia="Calibri" w:hAnsiTheme="majorBidi" w:cstheme="majorBidi"/>
          <w:sz w:val="24"/>
          <w:szCs w:val="24"/>
        </w:rPr>
        <w:t>.</w:t>
      </w:r>
      <w:bookmarkEnd w:id="1"/>
      <w:r w:rsidRPr="007F1EFD">
        <w:rPr>
          <w:rFonts w:asciiTheme="majorBidi" w:eastAsia="Calibri" w:hAnsiTheme="majorBidi" w:cstheme="majorBidi"/>
          <w:sz w:val="24"/>
          <w:szCs w:val="24"/>
        </w:rPr>
        <w:t xml:space="preserve"> Toxoplasmosis actively triggers an acute immune response and inflammatory reactions, causes serious pathological changes in various tissues in the human body, and more evidently localizes in different nervous tissues of various body organs.</w:t>
      </w:r>
      <w:r w:rsidRPr="007F1EFD">
        <w:rPr>
          <w:rFonts w:asciiTheme="majorBidi" w:eastAsia="Calibri" w:hAnsiTheme="majorBidi" w:cstheme="majorBidi"/>
          <w:i/>
          <w:iCs/>
          <w:sz w:val="24"/>
          <w:szCs w:val="24"/>
        </w:rPr>
        <w:t> </w:t>
      </w:r>
      <w:r w:rsidRPr="007F1EFD">
        <w:rPr>
          <w:rFonts w:asciiTheme="majorBidi" w:eastAsia="Calibri" w:hAnsiTheme="majorBidi" w:cstheme="majorBidi"/>
          <w:sz w:val="24"/>
          <w:szCs w:val="24"/>
        </w:rPr>
        <w:t xml:space="preserve">The YKL-40 is a glycoprotein secreted by numerous cell types in different patterns associated with various pathological processes such as inflammatory reactions, tissue remodeling, fibrosis, and </w:t>
      </w:r>
      <w:proofErr w:type="spellStart"/>
      <w:r w:rsidRPr="007F1EFD">
        <w:rPr>
          <w:rFonts w:asciiTheme="majorBidi" w:eastAsia="Calibri" w:hAnsiTheme="majorBidi" w:cstheme="majorBidi"/>
          <w:sz w:val="24"/>
          <w:szCs w:val="24"/>
        </w:rPr>
        <w:t>thought</w:t>
      </w:r>
      <w:proofErr w:type="spellEnd"/>
      <w:r w:rsidRPr="007F1EFD">
        <w:rPr>
          <w:rFonts w:asciiTheme="majorBidi" w:eastAsia="Calibri" w:hAnsiTheme="majorBidi" w:cstheme="majorBidi"/>
          <w:sz w:val="24"/>
          <w:szCs w:val="24"/>
        </w:rPr>
        <w:t xml:space="preserve"> it is a disease-specific biomarker of neuroinflammation. Therefore, The current study aimed to determine if the YKL-40 is markedly increased in toxoplasmosis or not and if its level is different between the acute and chronic phases of the infection to determine if it can be used as a clinically useful biomarker in the diagnosis, determination of disease severity and follow up of toxoplasmosis. Accordingly, a total of eighty serum samples were collected from previously diagnosed female patients with toxoplasmosis of different ages. In addition, ten healthy female sera were used as a control. Patients were firstly divided into two groups (30 patients with acute infection and 50 patients with chronic infection) depending on the results of detecting the specific anti-</w:t>
      </w:r>
      <w:r w:rsidRPr="007F1EFD">
        <w:rPr>
          <w:rFonts w:asciiTheme="majorBidi" w:eastAsia="Calibri" w:hAnsiTheme="majorBidi" w:cstheme="majorBidi"/>
          <w:i/>
          <w:iCs/>
          <w:sz w:val="24"/>
          <w:szCs w:val="24"/>
        </w:rPr>
        <w:t>Toxoplasma</w:t>
      </w:r>
      <w:r w:rsidRPr="007F1EFD">
        <w:rPr>
          <w:rFonts w:asciiTheme="majorBidi" w:eastAsia="Calibri" w:hAnsiTheme="majorBidi" w:cstheme="majorBidi"/>
          <w:sz w:val="24"/>
          <w:szCs w:val="24"/>
        </w:rPr>
        <w:t> IgM and IgG by ELISA. The level of YKL-40 was then measured in the patients’ serum by ELISA. The statistical analysis of data clearly disclosed very highly significant differences (</w:t>
      </w:r>
      <w:r w:rsidRPr="007F1EFD">
        <w:rPr>
          <w:rFonts w:asciiTheme="majorBidi" w:eastAsia="Calibri" w:hAnsiTheme="majorBidi" w:cstheme="majorBidi"/>
          <w:i/>
          <w:iCs/>
          <w:sz w:val="24"/>
          <w:szCs w:val="24"/>
        </w:rPr>
        <w:t>p</w:t>
      </w:r>
      <w:r w:rsidRPr="007F1EFD">
        <w:rPr>
          <w:rFonts w:asciiTheme="majorBidi" w:eastAsia="Calibri" w:hAnsiTheme="majorBidi" w:cstheme="majorBidi"/>
          <w:sz w:val="24"/>
          <w:szCs w:val="24"/>
        </w:rPr>
        <w:t> &lt;0.001) between the level of YKL-40 in the acute infection group and healthy controls, chronic infection group and healthy controls, and between the groups of acute and chronic infection. These findings lead to conclude that YKL-40 classify as a unique and sophisticated biomarker in the diagnosis of toxoplasmosis where it can vitally be used to detect the stage of the disease whether acute or chronic, beside its ability to detect the infection.</w:t>
      </w:r>
    </w:p>
    <w:p w14:paraId="69D29E11" w14:textId="6D1D3111" w:rsidR="003E2648" w:rsidRDefault="003E2648" w:rsidP="00CF1A28">
      <w:pPr>
        <w:spacing w:line="276" w:lineRule="auto"/>
        <w:jc w:val="both"/>
        <w:rPr>
          <w:rFonts w:asciiTheme="majorBidi" w:eastAsia="Calibri" w:hAnsiTheme="majorBidi" w:cstheme="majorBidi"/>
          <w:sz w:val="24"/>
          <w:szCs w:val="24"/>
        </w:rPr>
      </w:pPr>
      <w:r w:rsidRPr="003E2648">
        <w:rPr>
          <w:rFonts w:asciiTheme="majorBidi" w:eastAsia="Calibri" w:hAnsiTheme="majorBidi" w:cstheme="majorBidi"/>
          <w:b/>
          <w:bCs/>
          <w:sz w:val="24"/>
          <w:szCs w:val="24"/>
        </w:rPr>
        <w:t>Key words:</w:t>
      </w:r>
      <w:r w:rsidRPr="003E2648">
        <w:rPr>
          <w:rFonts w:asciiTheme="majorBidi" w:eastAsia="Calibri" w:hAnsiTheme="majorBidi" w:cstheme="majorBidi"/>
          <w:sz w:val="24"/>
          <w:szCs w:val="24"/>
        </w:rPr>
        <w:t xml:space="preserve"> Toxoplasmosis</w:t>
      </w:r>
      <w:r>
        <w:rPr>
          <w:rFonts w:asciiTheme="majorBidi" w:eastAsia="Calibri" w:hAnsiTheme="majorBidi" w:cstheme="majorBidi"/>
          <w:sz w:val="24"/>
          <w:szCs w:val="24"/>
        </w:rPr>
        <w:t xml:space="preserve">, </w:t>
      </w:r>
      <w:r w:rsidR="00CF1A28" w:rsidRPr="00CF1A28">
        <w:rPr>
          <w:rFonts w:asciiTheme="majorBidi" w:eastAsia="Calibri" w:hAnsiTheme="majorBidi" w:cstheme="majorBidi"/>
          <w:i/>
          <w:iCs/>
          <w:sz w:val="24"/>
          <w:szCs w:val="24"/>
        </w:rPr>
        <w:t>Toxoplasma gondii</w:t>
      </w:r>
      <w:r w:rsidR="00CF1A28">
        <w:rPr>
          <w:rFonts w:asciiTheme="majorBidi" w:eastAsia="Calibri" w:hAnsiTheme="majorBidi" w:cstheme="majorBidi"/>
          <w:sz w:val="24"/>
          <w:szCs w:val="24"/>
        </w:rPr>
        <w:t xml:space="preserve">, </w:t>
      </w:r>
      <w:r>
        <w:rPr>
          <w:rFonts w:asciiTheme="majorBidi" w:eastAsia="Calibri" w:hAnsiTheme="majorBidi" w:cstheme="majorBidi"/>
          <w:sz w:val="24"/>
          <w:szCs w:val="24"/>
        </w:rPr>
        <w:t>Y</w:t>
      </w:r>
      <w:r w:rsidR="006B6F17">
        <w:rPr>
          <w:rFonts w:asciiTheme="majorBidi" w:eastAsia="Calibri" w:hAnsiTheme="majorBidi" w:cstheme="majorBidi"/>
          <w:sz w:val="24"/>
          <w:szCs w:val="24"/>
        </w:rPr>
        <w:t>KL-40, biomarkers, diagnosis</w:t>
      </w:r>
      <w:r w:rsidR="00CF1A28">
        <w:rPr>
          <w:rFonts w:asciiTheme="majorBidi" w:eastAsia="Calibri" w:hAnsiTheme="majorBidi" w:cstheme="majorBidi"/>
          <w:sz w:val="24"/>
          <w:szCs w:val="24"/>
        </w:rPr>
        <w:t>.</w:t>
      </w:r>
      <w:r w:rsidR="006B6F17">
        <w:rPr>
          <w:rFonts w:asciiTheme="majorBidi" w:eastAsia="Calibri" w:hAnsiTheme="majorBidi" w:cstheme="majorBidi"/>
          <w:sz w:val="24"/>
          <w:szCs w:val="24"/>
        </w:rPr>
        <w:t xml:space="preserve"> </w:t>
      </w:r>
    </w:p>
    <w:p w14:paraId="1BC60259" w14:textId="1654E2AE" w:rsidR="007F1EFD" w:rsidRDefault="007F1EFD" w:rsidP="003C2993">
      <w:pPr>
        <w:spacing w:line="276" w:lineRule="auto"/>
        <w:jc w:val="both"/>
        <w:rPr>
          <w:rFonts w:asciiTheme="majorBidi" w:eastAsia="Calibri" w:hAnsiTheme="majorBidi" w:cstheme="majorBidi"/>
          <w:sz w:val="24"/>
          <w:szCs w:val="24"/>
        </w:rPr>
      </w:pPr>
    </w:p>
    <w:p w14:paraId="603FCA5A" w14:textId="14B5ECC8" w:rsidR="007F1EFD" w:rsidRPr="009B41EA" w:rsidRDefault="007F1EFD" w:rsidP="00FB695B">
      <w:pPr>
        <w:spacing w:after="0" w:line="276" w:lineRule="auto"/>
        <w:jc w:val="both"/>
        <w:rPr>
          <w:rFonts w:asciiTheme="majorBidi" w:eastAsia="Calibri" w:hAnsiTheme="majorBidi" w:cstheme="majorBidi"/>
          <w:b/>
          <w:bCs/>
          <w:sz w:val="24"/>
          <w:szCs w:val="24"/>
          <w:lang w:val="en-GB"/>
        </w:rPr>
      </w:pPr>
      <w:r w:rsidRPr="009B41EA">
        <w:rPr>
          <w:rFonts w:asciiTheme="majorBidi" w:eastAsia="Calibri" w:hAnsiTheme="majorBidi" w:cstheme="majorBidi"/>
          <w:b/>
          <w:bCs/>
          <w:sz w:val="24"/>
          <w:szCs w:val="24"/>
          <w:lang w:val="en-GB"/>
        </w:rPr>
        <w:lastRenderedPageBreak/>
        <w:t>Introduction</w:t>
      </w:r>
    </w:p>
    <w:p w14:paraId="0A42DB4E" w14:textId="65FA2562" w:rsidR="007F1EFD" w:rsidRPr="009B41EA" w:rsidRDefault="007F1EFD" w:rsidP="003C2993">
      <w:pPr>
        <w:spacing w:line="276" w:lineRule="auto"/>
        <w:jc w:val="both"/>
        <w:rPr>
          <w:rFonts w:asciiTheme="majorBidi" w:eastAsia="Calibri" w:hAnsiTheme="majorBidi" w:cstheme="majorBidi"/>
          <w:sz w:val="24"/>
          <w:szCs w:val="24"/>
        </w:rPr>
      </w:pPr>
      <w:r w:rsidRPr="009B41EA">
        <w:rPr>
          <w:rFonts w:asciiTheme="majorBidi" w:eastAsia="Calibri" w:hAnsiTheme="majorBidi" w:cstheme="majorBidi"/>
          <w:sz w:val="24"/>
          <w:szCs w:val="24"/>
        </w:rPr>
        <w:t xml:space="preserve">     Toxoplasmosis is a zoonotic, foodborne disease caused by an obligate intracellular parasite called </w:t>
      </w:r>
      <w:r w:rsidRPr="009B41EA">
        <w:rPr>
          <w:rFonts w:asciiTheme="majorBidi" w:eastAsia="Calibri" w:hAnsiTheme="majorBidi" w:cstheme="majorBidi"/>
          <w:i/>
          <w:iCs/>
          <w:sz w:val="24"/>
          <w:szCs w:val="24"/>
        </w:rPr>
        <w:t xml:space="preserve">Toxoplasma </w:t>
      </w:r>
      <w:r w:rsidRPr="00A317E7">
        <w:rPr>
          <w:rFonts w:asciiTheme="majorBidi" w:eastAsia="Calibri" w:hAnsiTheme="majorBidi" w:cstheme="majorBidi"/>
          <w:i/>
          <w:iCs/>
          <w:sz w:val="24"/>
          <w:szCs w:val="24"/>
        </w:rPr>
        <w:t>gondii</w:t>
      </w:r>
      <w:r w:rsidR="00564469" w:rsidRPr="00A317E7">
        <w:rPr>
          <w:rFonts w:asciiTheme="majorBidi" w:eastAsia="Calibri" w:hAnsiTheme="majorBidi" w:cstheme="majorBidi"/>
          <w:i/>
          <w:iCs/>
          <w:sz w:val="24"/>
          <w:szCs w:val="24"/>
        </w:rPr>
        <w:t xml:space="preserve"> </w:t>
      </w:r>
      <w:r w:rsidR="00564469" w:rsidRPr="00A317E7">
        <w:rPr>
          <w:rFonts w:asciiTheme="majorBidi" w:eastAsia="Calibri" w:hAnsiTheme="majorBidi" w:cstheme="majorBidi"/>
          <w:sz w:val="24"/>
          <w:szCs w:val="24"/>
        </w:rPr>
        <w:t>[1-4]</w:t>
      </w:r>
      <w:r w:rsidRPr="00A317E7">
        <w:rPr>
          <w:rFonts w:asciiTheme="majorBidi" w:eastAsia="Calibri" w:hAnsiTheme="majorBidi" w:cstheme="majorBidi"/>
          <w:sz w:val="24"/>
          <w:szCs w:val="24"/>
        </w:rPr>
        <w:t>. Globally, it is one of the most prevalent zoonotic diseases that highly affects a wide range of populations and is endemic in many areas [</w:t>
      </w:r>
      <w:r w:rsidR="00564469" w:rsidRPr="00A317E7">
        <w:rPr>
          <w:rFonts w:asciiTheme="majorBidi" w:eastAsia="Calibri" w:hAnsiTheme="majorBidi" w:cstheme="majorBidi"/>
          <w:sz w:val="24"/>
          <w:szCs w:val="24"/>
        </w:rPr>
        <w:t>5</w:t>
      </w:r>
      <w:r w:rsidRPr="00A317E7">
        <w:rPr>
          <w:rFonts w:asciiTheme="majorBidi" w:eastAsia="Calibri" w:hAnsiTheme="majorBidi" w:cstheme="majorBidi"/>
          <w:sz w:val="24"/>
          <w:szCs w:val="24"/>
        </w:rPr>
        <w:t>-</w:t>
      </w:r>
      <w:r w:rsidR="00564469" w:rsidRPr="00A317E7">
        <w:rPr>
          <w:rFonts w:asciiTheme="majorBidi" w:eastAsia="Calibri" w:hAnsiTheme="majorBidi" w:cstheme="majorBidi"/>
          <w:sz w:val="24"/>
          <w:szCs w:val="24"/>
        </w:rPr>
        <w:t>7</w:t>
      </w:r>
      <w:r w:rsidRPr="00A317E7">
        <w:rPr>
          <w:rFonts w:asciiTheme="majorBidi" w:eastAsia="Calibri" w:hAnsiTheme="majorBidi" w:cstheme="majorBidi"/>
          <w:sz w:val="24"/>
          <w:szCs w:val="24"/>
        </w:rPr>
        <w:t>]. The effect of toxoplasmosis on the public health is significantly evident worldwide</w:t>
      </w:r>
      <w:r w:rsidRPr="009B41EA">
        <w:rPr>
          <w:rFonts w:asciiTheme="majorBidi" w:eastAsia="Calibri" w:hAnsiTheme="majorBidi" w:cstheme="majorBidi"/>
          <w:sz w:val="24"/>
          <w:szCs w:val="24"/>
        </w:rPr>
        <w:t xml:space="preserve"> </w:t>
      </w:r>
      <w:bookmarkStart w:id="2" w:name="_Hlk102378100"/>
      <w:r w:rsidRPr="009B41EA">
        <w:rPr>
          <w:rFonts w:asciiTheme="majorBidi" w:eastAsia="Calibri" w:hAnsiTheme="majorBidi" w:cstheme="majorBidi"/>
          <w:sz w:val="24"/>
          <w:szCs w:val="24"/>
        </w:rPr>
        <w:t xml:space="preserve">[1-4]. </w:t>
      </w:r>
      <w:bookmarkEnd w:id="2"/>
      <w:r w:rsidRPr="009B41EA">
        <w:rPr>
          <w:rFonts w:asciiTheme="majorBidi" w:eastAsia="Calibri" w:hAnsiTheme="majorBidi" w:cstheme="majorBidi"/>
          <w:sz w:val="24"/>
          <w:szCs w:val="24"/>
        </w:rPr>
        <w:t>Human acquires the infection in different manners: either by consuming raw or undercooked infected meat with tissue cysts of the parasite, or ingesting food and drinks contaminated with the parasite’s oocysts, or humans may passively acquire the tachyzoite stage transplacentally, or by the transfusion of the blood and its products, and it can also be acquired via organs transplantation [</w:t>
      </w:r>
      <w:r w:rsidR="00564469">
        <w:rPr>
          <w:rFonts w:asciiTheme="majorBidi" w:eastAsia="Calibri" w:hAnsiTheme="majorBidi" w:cstheme="majorBidi"/>
          <w:sz w:val="24"/>
          <w:szCs w:val="24"/>
        </w:rPr>
        <w:t>8</w:t>
      </w:r>
      <w:r w:rsidRPr="009B41EA">
        <w:rPr>
          <w:rFonts w:asciiTheme="majorBidi" w:eastAsia="Calibri" w:hAnsiTheme="majorBidi" w:cstheme="majorBidi"/>
          <w:sz w:val="24"/>
          <w:szCs w:val="24"/>
        </w:rPr>
        <w:t>-1</w:t>
      </w:r>
      <w:r w:rsidR="00564469">
        <w:rPr>
          <w:rFonts w:asciiTheme="majorBidi" w:eastAsia="Calibri" w:hAnsiTheme="majorBidi" w:cstheme="majorBidi"/>
          <w:sz w:val="24"/>
          <w:szCs w:val="24"/>
        </w:rPr>
        <w:t>1</w:t>
      </w:r>
      <w:r w:rsidRPr="009B41EA">
        <w:rPr>
          <w:rFonts w:asciiTheme="majorBidi" w:eastAsia="Calibri" w:hAnsiTheme="majorBidi" w:cstheme="majorBidi"/>
          <w:sz w:val="24"/>
          <w:szCs w:val="24"/>
        </w:rPr>
        <w:t>].</w:t>
      </w:r>
    </w:p>
    <w:p w14:paraId="41E3F56F" w14:textId="65070E15" w:rsidR="007F1EFD" w:rsidRPr="009B41EA" w:rsidRDefault="007F1EFD" w:rsidP="003C2993">
      <w:pPr>
        <w:spacing w:line="276" w:lineRule="auto"/>
        <w:jc w:val="both"/>
        <w:rPr>
          <w:rFonts w:asciiTheme="majorBidi" w:eastAsia="Calibri" w:hAnsiTheme="majorBidi" w:cstheme="majorBidi"/>
          <w:sz w:val="24"/>
          <w:szCs w:val="24"/>
        </w:rPr>
      </w:pPr>
      <w:r w:rsidRPr="009B41EA">
        <w:rPr>
          <w:rFonts w:asciiTheme="majorBidi" w:eastAsia="Calibri" w:hAnsiTheme="majorBidi" w:cstheme="majorBidi"/>
          <w:sz w:val="24"/>
          <w:szCs w:val="24"/>
        </w:rPr>
        <w:t xml:space="preserve">     The parasite develops in different sites in the body of the infected individuals, induces various pathological changes displayed in numerous patterns and results in various clinical manifestations [1</w:t>
      </w:r>
      <w:r w:rsidR="00564469">
        <w:rPr>
          <w:rFonts w:asciiTheme="majorBidi" w:eastAsia="Calibri" w:hAnsiTheme="majorBidi" w:cstheme="majorBidi"/>
          <w:sz w:val="24"/>
          <w:szCs w:val="24"/>
        </w:rPr>
        <w:t>2</w:t>
      </w:r>
      <w:r w:rsidRPr="009B41EA">
        <w:rPr>
          <w:rFonts w:asciiTheme="majorBidi" w:eastAsia="Calibri" w:hAnsiTheme="majorBidi" w:cstheme="majorBidi"/>
          <w:sz w:val="24"/>
          <w:szCs w:val="24"/>
        </w:rPr>
        <w:t>]. Although acute infection is typically asymptomatic, 10-20% of the patients develop bilateral, cervical or axillary lymphadenopathy [1</w:t>
      </w:r>
      <w:r w:rsidR="00F46045">
        <w:rPr>
          <w:rFonts w:asciiTheme="majorBidi" w:eastAsia="Calibri" w:hAnsiTheme="majorBidi" w:cstheme="majorBidi"/>
          <w:sz w:val="24"/>
          <w:szCs w:val="24"/>
        </w:rPr>
        <w:t>3</w:t>
      </w:r>
      <w:r w:rsidRPr="009B41EA">
        <w:rPr>
          <w:rFonts w:asciiTheme="majorBidi" w:eastAsia="Calibri" w:hAnsiTheme="majorBidi" w:cstheme="majorBidi"/>
          <w:sz w:val="24"/>
          <w:szCs w:val="24"/>
        </w:rPr>
        <w:t>-1</w:t>
      </w:r>
      <w:r w:rsidR="00F46045">
        <w:rPr>
          <w:rFonts w:asciiTheme="majorBidi" w:eastAsia="Calibri" w:hAnsiTheme="majorBidi" w:cstheme="majorBidi"/>
          <w:sz w:val="24"/>
          <w:szCs w:val="24"/>
        </w:rPr>
        <w:t>5</w:t>
      </w:r>
      <w:r w:rsidRPr="009B41EA">
        <w:rPr>
          <w:rFonts w:asciiTheme="majorBidi" w:eastAsia="Calibri" w:hAnsiTheme="majorBidi" w:cstheme="majorBidi"/>
          <w:sz w:val="24"/>
          <w:szCs w:val="24"/>
        </w:rPr>
        <w:t>]. During the chronic phase of the disease, the parasite encrypts within the tissue cysts that develop in different tissue types in the patient’s body, particularly in the brain, liver and muscles; whenever, the disease turns from acute to the chronic phase [</w:t>
      </w:r>
      <w:r w:rsidR="00F46045">
        <w:rPr>
          <w:rFonts w:asciiTheme="majorBidi" w:eastAsia="Calibri" w:hAnsiTheme="majorBidi" w:cstheme="majorBidi"/>
          <w:sz w:val="24"/>
          <w:szCs w:val="24"/>
        </w:rPr>
        <w:t>16</w:t>
      </w:r>
      <w:r w:rsidRPr="009B41EA">
        <w:rPr>
          <w:rFonts w:asciiTheme="majorBidi" w:eastAsia="Calibri" w:hAnsiTheme="majorBidi" w:cstheme="majorBidi"/>
          <w:sz w:val="24"/>
          <w:szCs w:val="24"/>
        </w:rPr>
        <w:t>-</w:t>
      </w:r>
      <w:r w:rsidR="00F46045">
        <w:rPr>
          <w:rFonts w:asciiTheme="majorBidi" w:eastAsia="Calibri" w:hAnsiTheme="majorBidi" w:cstheme="majorBidi"/>
          <w:sz w:val="24"/>
          <w:szCs w:val="24"/>
        </w:rPr>
        <w:t>18</w:t>
      </w:r>
      <w:r w:rsidRPr="009B41EA">
        <w:rPr>
          <w:rFonts w:asciiTheme="majorBidi" w:eastAsia="Calibri" w:hAnsiTheme="majorBidi" w:cstheme="majorBidi"/>
          <w:sz w:val="24"/>
          <w:szCs w:val="24"/>
        </w:rPr>
        <w:t>]. These tissue cysts have the potential ability to remain for the entire life of the intermediate host [</w:t>
      </w:r>
      <w:r w:rsidR="00F46045">
        <w:rPr>
          <w:rFonts w:asciiTheme="majorBidi" w:eastAsia="Calibri" w:hAnsiTheme="majorBidi" w:cstheme="majorBidi"/>
          <w:sz w:val="24"/>
          <w:szCs w:val="24"/>
        </w:rPr>
        <w:t>17</w:t>
      </w:r>
      <w:r w:rsidRPr="009B41EA">
        <w:rPr>
          <w:rFonts w:asciiTheme="majorBidi" w:eastAsia="Calibri" w:hAnsiTheme="majorBidi" w:cstheme="majorBidi"/>
          <w:sz w:val="24"/>
          <w:szCs w:val="24"/>
        </w:rPr>
        <w:t>,</w:t>
      </w:r>
      <w:r w:rsidR="00F46045">
        <w:rPr>
          <w:rFonts w:asciiTheme="majorBidi" w:eastAsia="Calibri" w:hAnsiTheme="majorBidi" w:cstheme="majorBidi"/>
          <w:sz w:val="24"/>
          <w:szCs w:val="24"/>
        </w:rPr>
        <w:t>19</w:t>
      </w:r>
      <w:r w:rsidRPr="009B41EA">
        <w:rPr>
          <w:rFonts w:asciiTheme="majorBidi" w:eastAsia="Calibri" w:hAnsiTheme="majorBidi" w:cstheme="majorBidi"/>
          <w:sz w:val="24"/>
          <w:szCs w:val="24"/>
        </w:rPr>
        <w:t>].</w:t>
      </w:r>
    </w:p>
    <w:p w14:paraId="614B82B5" w14:textId="7955BB6E" w:rsidR="007F1EFD" w:rsidRPr="009B41EA" w:rsidRDefault="007F1EFD" w:rsidP="003C2993">
      <w:pPr>
        <w:spacing w:line="276" w:lineRule="auto"/>
        <w:jc w:val="both"/>
        <w:rPr>
          <w:rFonts w:asciiTheme="majorBidi" w:eastAsia="Calibri" w:hAnsiTheme="majorBidi" w:cstheme="majorBidi"/>
          <w:sz w:val="24"/>
          <w:szCs w:val="24"/>
        </w:rPr>
      </w:pPr>
      <w:r w:rsidRPr="009B41EA">
        <w:rPr>
          <w:rFonts w:asciiTheme="majorBidi" w:eastAsia="Calibri" w:hAnsiTheme="majorBidi" w:cstheme="majorBidi"/>
          <w:sz w:val="24"/>
          <w:szCs w:val="24"/>
        </w:rPr>
        <w:t xml:space="preserve">     In the infected human, the </w:t>
      </w:r>
      <w:r w:rsidRPr="009B41EA">
        <w:rPr>
          <w:rFonts w:asciiTheme="majorBidi" w:eastAsia="Calibri" w:hAnsiTheme="majorBidi" w:cstheme="majorBidi"/>
          <w:i/>
          <w:iCs/>
          <w:sz w:val="24"/>
          <w:szCs w:val="24"/>
        </w:rPr>
        <w:t>Toxoplasma</w:t>
      </w:r>
      <w:r w:rsidRPr="009B41EA">
        <w:rPr>
          <w:rFonts w:asciiTheme="majorBidi" w:eastAsia="Calibri" w:hAnsiTheme="majorBidi" w:cstheme="majorBidi"/>
          <w:sz w:val="24"/>
          <w:szCs w:val="24"/>
        </w:rPr>
        <w:t> parasite directly triggers a robust immune response against the spreading parasite, including both cellular and humoral elements [</w:t>
      </w:r>
      <w:r w:rsidR="005F1776">
        <w:rPr>
          <w:rFonts w:asciiTheme="majorBidi" w:eastAsia="Calibri" w:hAnsiTheme="majorBidi" w:cstheme="majorBidi"/>
          <w:sz w:val="24"/>
          <w:szCs w:val="24"/>
        </w:rPr>
        <w:t>20</w:t>
      </w:r>
      <w:r w:rsidRPr="009B41EA">
        <w:rPr>
          <w:rFonts w:asciiTheme="majorBidi" w:eastAsia="Calibri" w:hAnsiTheme="majorBidi" w:cstheme="majorBidi"/>
          <w:sz w:val="24"/>
          <w:szCs w:val="24"/>
        </w:rPr>
        <w:t xml:space="preserve">]. This activation of the immune system enhances the parasite to hide in a more tolerant form where it transforms from tachyzoites to bradyzoites inside the host’s cell, along with consequent differentiation in the host cell to form a cyst (zoitocyst) in the tissue as it founds in the latent infection </w:t>
      </w:r>
      <w:r w:rsidRPr="003F1DCF">
        <w:rPr>
          <w:rFonts w:asciiTheme="majorBidi" w:eastAsia="Calibri" w:hAnsiTheme="majorBidi" w:cstheme="majorBidi"/>
          <w:sz w:val="24"/>
          <w:szCs w:val="24"/>
        </w:rPr>
        <w:t>[</w:t>
      </w:r>
      <w:r w:rsidR="005F1776" w:rsidRPr="003F1DCF">
        <w:rPr>
          <w:rFonts w:asciiTheme="majorBidi" w:eastAsia="Calibri" w:hAnsiTheme="majorBidi" w:cstheme="majorBidi"/>
          <w:sz w:val="24"/>
          <w:szCs w:val="24"/>
        </w:rPr>
        <w:t>21</w:t>
      </w:r>
      <w:r w:rsidRPr="003F1DCF">
        <w:rPr>
          <w:rFonts w:asciiTheme="majorBidi" w:eastAsia="Calibri" w:hAnsiTheme="majorBidi" w:cstheme="majorBidi"/>
          <w:sz w:val="24"/>
          <w:szCs w:val="24"/>
        </w:rPr>
        <w:t>,</w:t>
      </w:r>
      <w:r w:rsidR="005F1776" w:rsidRPr="003F1DCF">
        <w:rPr>
          <w:rFonts w:asciiTheme="majorBidi" w:eastAsia="Calibri" w:hAnsiTheme="majorBidi" w:cstheme="majorBidi"/>
          <w:sz w:val="24"/>
          <w:szCs w:val="24"/>
        </w:rPr>
        <w:t>22</w:t>
      </w:r>
      <w:r w:rsidRPr="009B41EA">
        <w:rPr>
          <w:rFonts w:asciiTheme="majorBidi" w:eastAsia="Calibri" w:hAnsiTheme="majorBidi" w:cstheme="majorBidi"/>
          <w:sz w:val="24"/>
          <w:szCs w:val="24"/>
        </w:rPr>
        <w:t>]. The parasite transforms from the zoitocyst stage to the tachyzoite stage in immunocompromised individuals such as AIDS patients. Similarly, congenitally infected patients may experience multiple reactivations. The interconversion between the tachyzoites and bradyzoites is critical not only for the establishment of the chronic infection but also for disease recurrence [</w:t>
      </w:r>
      <w:r w:rsidR="003F1DCF">
        <w:rPr>
          <w:rFonts w:asciiTheme="majorBidi" w:eastAsia="Calibri" w:hAnsiTheme="majorBidi" w:cstheme="majorBidi"/>
          <w:sz w:val="24"/>
          <w:szCs w:val="24"/>
        </w:rPr>
        <w:t>23</w:t>
      </w:r>
      <w:r w:rsidRPr="009B41EA">
        <w:rPr>
          <w:rFonts w:asciiTheme="majorBidi" w:eastAsia="Calibri" w:hAnsiTheme="majorBidi" w:cstheme="majorBidi"/>
          <w:sz w:val="24"/>
          <w:szCs w:val="24"/>
        </w:rPr>
        <w:t>,</w:t>
      </w:r>
      <w:r w:rsidR="003F1DCF">
        <w:rPr>
          <w:rFonts w:asciiTheme="majorBidi" w:eastAsia="Calibri" w:hAnsiTheme="majorBidi" w:cstheme="majorBidi"/>
          <w:sz w:val="24"/>
          <w:szCs w:val="24"/>
        </w:rPr>
        <w:t>24</w:t>
      </w:r>
      <w:r w:rsidRPr="009B41EA">
        <w:rPr>
          <w:rFonts w:asciiTheme="majorBidi" w:eastAsia="Calibri" w:hAnsiTheme="majorBidi" w:cstheme="majorBidi"/>
          <w:sz w:val="24"/>
          <w:szCs w:val="24"/>
        </w:rPr>
        <w:t>].</w:t>
      </w:r>
    </w:p>
    <w:p w14:paraId="28E23C5C" w14:textId="6A439F1C" w:rsidR="007F1EFD" w:rsidRPr="009B41EA" w:rsidRDefault="007F1EFD" w:rsidP="003C2993">
      <w:pPr>
        <w:spacing w:line="276" w:lineRule="auto"/>
        <w:jc w:val="both"/>
        <w:rPr>
          <w:rFonts w:asciiTheme="majorBidi" w:eastAsia="Calibri" w:hAnsiTheme="majorBidi" w:cstheme="majorBidi"/>
          <w:sz w:val="24"/>
          <w:szCs w:val="24"/>
        </w:rPr>
      </w:pPr>
      <w:r w:rsidRPr="009B41EA">
        <w:rPr>
          <w:rFonts w:asciiTheme="majorBidi" w:eastAsia="Calibri" w:hAnsiTheme="majorBidi" w:cstheme="majorBidi"/>
          <w:sz w:val="24"/>
          <w:szCs w:val="24"/>
        </w:rPr>
        <w:t xml:space="preserve">     Nevertheless, cell mediated immunity (CMI) plays an active role in driving the encystment of this parasite. Both CD4</w:t>
      </w:r>
      <w:r w:rsidRPr="009B41EA">
        <w:rPr>
          <w:rFonts w:asciiTheme="majorBidi" w:eastAsia="Calibri" w:hAnsiTheme="majorBidi" w:cstheme="majorBidi"/>
          <w:sz w:val="24"/>
          <w:szCs w:val="24"/>
          <w:vertAlign w:val="superscript"/>
        </w:rPr>
        <w:t>+</w:t>
      </w:r>
      <w:r w:rsidRPr="009B41EA">
        <w:rPr>
          <w:rFonts w:asciiTheme="majorBidi" w:eastAsia="Calibri" w:hAnsiTheme="majorBidi" w:cstheme="majorBidi"/>
          <w:sz w:val="24"/>
          <w:szCs w:val="24"/>
        </w:rPr>
        <w:t xml:space="preserve"> and CD8</w:t>
      </w:r>
      <w:r w:rsidRPr="009B41EA">
        <w:rPr>
          <w:rFonts w:asciiTheme="majorBidi" w:eastAsia="Calibri" w:hAnsiTheme="majorBidi" w:cstheme="majorBidi"/>
          <w:sz w:val="24"/>
          <w:szCs w:val="24"/>
          <w:vertAlign w:val="superscript"/>
        </w:rPr>
        <w:t>+</w:t>
      </w:r>
      <w:r w:rsidRPr="009B41EA">
        <w:rPr>
          <w:rFonts w:asciiTheme="majorBidi" w:eastAsia="Calibri" w:hAnsiTheme="majorBidi" w:cstheme="majorBidi"/>
          <w:sz w:val="24"/>
          <w:szCs w:val="24"/>
        </w:rPr>
        <w:t xml:space="preserve"> cells can lyse the infected cells with</w:t>
      </w:r>
      <w:r w:rsidRPr="009B41EA">
        <w:rPr>
          <w:rFonts w:asciiTheme="majorBidi" w:eastAsia="Calibri" w:hAnsiTheme="majorBidi" w:cstheme="majorBidi"/>
          <w:i/>
          <w:iCs/>
          <w:sz w:val="24"/>
          <w:szCs w:val="24"/>
        </w:rPr>
        <w:t> T. gondii</w:t>
      </w:r>
      <w:r w:rsidRPr="009B41EA">
        <w:rPr>
          <w:rFonts w:asciiTheme="majorBidi" w:eastAsia="Calibri" w:hAnsiTheme="majorBidi" w:cstheme="majorBidi"/>
          <w:sz w:val="24"/>
          <w:szCs w:val="24"/>
        </w:rPr>
        <w:t xml:space="preserve"> </w:t>
      </w:r>
      <w:r w:rsidRPr="003F1DCF">
        <w:rPr>
          <w:rFonts w:asciiTheme="majorBidi" w:eastAsia="Calibri" w:hAnsiTheme="majorBidi" w:cstheme="majorBidi"/>
          <w:sz w:val="24"/>
          <w:szCs w:val="24"/>
        </w:rPr>
        <w:t>[</w:t>
      </w:r>
      <w:r w:rsidR="003F1DCF" w:rsidRPr="003F1DCF">
        <w:rPr>
          <w:rFonts w:asciiTheme="majorBidi" w:eastAsia="Calibri" w:hAnsiTheme="majorBidi" w:cstheme="majorBidi"/>
          <w:sz w:val="24"/>
          <w:szCs w:val="24"/>
        </w:rPr>
        <w:t>25</w:t>
      </w:r>
      <w:r w:rsidRPr="003F1DCF">
        <w:rPr>
          <w:rFonts w:asciiTheme="majorBidi" w:eastAsia="Calibri" w:hAnsiTheme="majorBidi" w:cstheme="majorBidi"/>
          <w:sz w:val="24"/>
          <w:szCs w:val="24"/>
        </w:rPr>
        <w:t>,</w:t>
      </w:r>
      <w:r w:rsidR="003F1DCF" w:rsidRPr="003F1DCF">
        <w:rPr>
          <w:rFonts w:asciiTheme="majorBidi" w:eastAsia="Calibri" w:hAnsiTheme="majorBidi" w:cstheme="majorBidi"/>
          <w:sz w:val="24"/>
          <w:szCs w:val="24"/>
        </w:rPr>
        <w:t>26</w:t>
      </w:r>
      <w:r w:rsidRPr="003F1DCF">
        <w:rPr>
          <w:rFonts w:asciiTheme="majorBidi" w:eastAsia="Calibri" w:hAnsiTheme="majorBidi" w:cstheme="majorBidi"/>
          <w:sz w:val="24"/>
          <w:szCs w:val="24"/>
        </w:rPr>
        <w:t>].</w:t>
      </w:r>
      <w:r w:rsidRPr="009B41EA">
        <w:rPr>
          <w:rFonts w:asciiTheme="majorBidi" w:hAnsiTheme="majorBidi" w:cstheme="majorBidi"/>
          <w:sz w:val="24"/>
          <w:szCs w:val="24"/>
        </w:rPr>
        <w:t xml:space="preserve"> </w:t>
      </w:r>
      <w:r w:rsidRPr="009B41EA">
        <w:rPr>
          <w:rFonts w:asciiTheme="majorBidi" w:eastAsia="Calibri" w:hAnsiTheme="majorBidi" w:cstheme="majorBidi"/>
          <w:sz w:val="24"/>
          <w:szCs w:val="24"/>
        </w:rPr>
        <w:t xml:space="preserve">These T-cell subsets synergize with the NK, macrophages and lymphokine-activated killer cells in the protective mechanisms of </w:t>
      </w:r>
      <w:r w:rsidRPr="00C37C60">
        <w:rPr>
          <w:rFonts w:asciiTheme="majorBidi" w:eastAsia="Calibri" w:hAnsiTheme="majorBidi" w:cstheme="majorBidi"/>
          <w:sz w:val="24"/>
          <w:szCs w:val="24"/>
        </w:rPr>
        <w:t>CMI [</w:t>
      </w:r>
      <w:r w:rsidR="00C37C60" w:rsidRPr="00C37C60">
        <w:rPr>
          <w:rFonts w:asciiTheme="majorBidi" w:eastAsia="Calibri" w:hAnsiTheme="majorBidi" w:cstheme="majorBidi"/>
          <w:sz w:val="24"/>
          <w:szCs w:val="24"/>
        </w:rPr>
        <w:t>26</w:t>
      </w:r>
      <w:r w:rsidRPr="00C37C60">
        <w:rPr>
          <w:rFonts w:asciiTheme="majorBidi" w:eastAsia="Calibri" w:hAnsiTheme="majorBidi" w:cstheme="majorBidi"/>
          <w:sz w:val="24"/>
          <w:szCs w:val="24"/>
        </w:rPr>
        <w:t>].</w:t>
      </w:r>
      <w:r w:rsidRPr="009B41EA">
        <w:rPr>
          <w:rFonts w:asciiTheme="majorBidi" w:eastAsia="Calibri" w:hAnsiTheme="majorBidi" w:cstheme="majorBidi"/>
          <w:sz w:val="24"/>
          <w:szCs w:val="24"/>
        </w:rPr>
        <w:t xml:space="preserve"> In addition, the infection causes the release of different cytokines and pro-inflammatory mediators from the activated T-helper cells </w:t>
      </w:r>
      <w:r w:rsidRPr="00C37C60">
        <w:rPr>
          <w:rFonts w:asciiTheme="majorBidi" w:eastAsia="Calibri" w:hAnsiTheme="majorBidi" w:cstheme="majorBidi"/>
          <w:sz w:val="24"/>
          <w:szCs w:val="24"/>
        </w:rPr>
        <w:t>[</w:t>
      </w:r>
      <w:r w:rsidR="00C37C60" w:rsidRPr="00C37C60">
        <w:rPr>
          <w:rFonts w:asciiTheme="majorBidi" w:eastAsia="Calibri" w:hAnsiTheme="majorBidi" w:cstheme="majorBidi"/>
          <w:sz w:val="24"/>
          <w:szCs w:val="24"/>
        </w:rPr>
        <w:t>25</w:t>
      </w:r>
      <w:r w:rsidRPr="00C37C60">
        <w:rPr>
          <w:rFonts w:asciiTheme="majorBidi" w:eastAsia="Calibri" w:hAnsiTheme="majorBidi" w:cstheme="majorBidi"/>
          <w:sz w:val="24"/>
          <w:szCs w:val="24"/>
        </w:rPr>
        <w:t>]</w:t>
      </w:r>
      <w:bookmarkStart w:id="3" w:name="_Hlk99329856"/>
      <w:r w:rsidRPr="00C37C60">
        <w:rPr>
          <w:rFonts w:asciiTheme="majorBidi" w:eastAsia="Calibri" w:hAnsiTheme="majorBidi" w:cstheme="majorBidi"/>
          <w:sz w:val="24"/>
          <w:szCs w:val="24"/>
        </w:rPr>
        <w:t>.</w:t>
      </w:r>
      <w:bookmarkEnd w:id="3"/>
      <w:r w:rsidRPr="009B41EA">
        <w:rPr>
          <w:rFonts w:asciiTheme="majorBidi" w:eastAsia="Calibri" w:hAnsiTheme="majorBidi" w:cstheme="majorBidi"/>
          <w:sz w:val="24"/>
          <w:szCs w:val="24"/>
        </w:rPr>
        <w:t xml:space="preserve"> However, T-Lymphocytes are the source of these cytokines during the chronic phase </w:t>
      </w:r>
      <w:r w:rsidRPr="00C37C60">
        <w:rPr>
          <w:rFonts w:asciiTheme="majorBidi" w:eastAsia="Calibri" w:hAnsiTheme="majorBidi" w:cstheme="majorBidi"/>
          <w:sz w:val="24"/>
          <w:szCs w:val="24"/>
        </w:rPr>
        <w:t>[</w:t>
      </w:r>
      <w:r w:rsidR="00C37C60" w:rsidRPr="00C37C60">
        <w:rPr>
          <w:rFonts w:asciiTheme="majorBidi" w:eastAsia="Calibri" w:hAnsiTheme="majorBidi" w:cstheme="majorBidi"/>
          <w:sz w:val="24"/>
          <w:szCs w:val="24"/>
        </w:rPr>
        <w:t>27</w:t>
      </w:r>
      <w:r w:rsidRPr="00C37C60">
        <w:rPr>
          <w:rFonts w:asciiTheme="majorBidi" w:eastAsia="Calibri" w:hAnsiTheme="majorBidi" w:cstheme="majorBidi"/>
          <w:sz w:val="24"/>
          <w:szCs w:val="24"/>
        </w:rPr>
        <w:t>,</w:t>
      </w:r>
      <w:r w:rsidR="00C37C60" w:rsidRPr="00C37C60">
        <w:rPr>
          <w:rFonts w:asciiTheme="majorBidi" w:eastAsia="Calibri" w:hAnsiTheme="majorBidi" w:cstheme="majorBidi"/>
          <w:sz w:val="24"/>
          <w:szCs w:val="24"/>
        </w:rPr>
        <w:t>28</w:t>
      </w:r>
      <w:r w:rsidRPr="009B41EA">
        <w:rPr>
          <w:rFonts w:asciiTheme="majorBidi" w:eastAsia="Calibri" w:hAnsiTheme="majorBidi" w:cstheme="majorBidi"/>
          <w:sz w:val="24"/>
          <w:szCs w:val="24"/>
        </w:rPr>
        <w:t xml:space="preserve">]. </w:t>
      </w:r>
    </w:p>
    <w:p w14:paraId="0A3270C3" w14:textId="2FFA345E" w:rsidR="007F1EFD" w:rsidRPr="005A75C3" w:rsidRDefault="007F1EFD" w:rsidP="003C2993">
      <w:pPr>
        <w:spacing w:line="276" w:lineRule="auto"/>
        <w:jc w:val="both"/>
        <w:rPr>
          <w:rFonts w:asciiTheme="majorBidi" w:hAnsiTheme="majorBidi" w:cstheme="majorBidi"/>
          <w:sz w:val="24"/>
          <w:szCs w:val="24"/>
          <w:lang w:bidi="ar-IQ"/>
        </w:rPr>
      </w:pPr>
      <w:r w:rsidRPr="009B41EA">
        <w:rPr>
          <w:rFonts w:asciiTheme="majorBidi" w:eastAsia="Calibri" w:hAnsiTheme="majorBidi" w:cstheme="majorBidi"/>
          <w:sz w:val="24"/>
          <w:szCs w:val="24"/>
        </w:rPr>
        <w:t xml:space="preserve">     Moreover, the primary infection with </w:t>
      </w:r>
      <w:r w:rsidRPr="009B41EA">
        <w:rPr>
          <w:rFonts w:asciiTheme="majorBidi" w:eastAsia="Calibri" w:hAnsiTheme="majorBidi" w:cstheme="majorBidi"/>
          <w:i/>
          <w:iCs/>
          <w:sz w:val="24"/>
          <w:szCs w:val="24"/>
        </w:rPr>
        <w:t>T. gondii</w:t>
      </w:r>
      <w:r w:rsidRPr="009B41EA">
        <w:rPr>
          <w:rFonts w:asciiTheme="majorBidi" w:eastAsia="Calibri" w:hAnsiTheme="majorBidi" w:cstheme="majorBidi"/>
          <w:sz w:val="24"/>
          <w:szCs w:val="24"/>
        </w:rPr>
        <w:t xml:space="preserve"> induces the production of different immunoglobulin isotypes, which appear sequentially with various kinetics </w:t>
      </w:r>
      <w:r w:rsidRPr="00093925">
        <w:rPr>
          <w:rFonts w:asciiTheme="majorBidi" w:eastAsia="Calibri" w:hAnsiTheme="majorBidi" w:cstheme="majorBidi"/>
          <w:sz w:val="24"/>
          <w:szCs w:val="24"/>
        </w:rPr>
        <w:t>[</w:t>
      </w:r>
      <w:r w:rsidR="00776A77" w:rsidRPr="00093925">
        <w:rPr>
          <w:rFonts w:asciiTheme="majorBidi" w:eastAsia="Calibri" w:hAnsiTheme="majorBidi" w:cstheme="majorBidi"/>
          <w:sz w:val="24"/>
          <w:szCs w:val="24"/>
        </w:rPr>
        <w:t>29</w:t>
      </w:r>
      <w:r w:rsidRPr="00093925">
        <w:rPr>
          <w:rFonts w:asciiTheme="majorBidi" w:eastAsia="Calibri" w:hAnsiTheme="majorBidi" w:cstheme="majorBidi"/>
          <w:sz w:val="24"/>
          <w:szCs w:val="24"/>
        </w:rPr>
        <w:t>,</w:t>
      </w:r>
      <w:r w:rsidR="00776A77" w:rsidRPr="00093925">
        <w:rPr>
          <w:rFonts w:asciiTheme="majorBidi" w:eastAsia="Calibri" w:hAnsiTheme="majorBidi" w:cstheme="majorBidi"/>
          <w:sz w:val="24"/>
          <w:szCs w:val="24"/>
        </w:rPr>
        <w:t>30</w:t>
      </w:r>
      <w:r w:rsidRPr="00093925">
        <w:rPr>
          <w:rFonts w:asciiTheme="majorBidi" w:eastAsia="Calibri" w:hAnsiTheme="majorBidi" w:cstheme="majorBidi"/>
          <w:sz w:val="24"/>
          <w:szCs w:val="24"/>
        </w:rPr>
        <w:t>]. It has been found that </w:t>
      </w:r>
      <w:r w:rsidRPr="00093925">
        <w:rPr>
          <w:rFonts w:asciiTheme="majorBidi" w:eastAsia="Calibri" w:hAnsiTheme="majorBidi" w:cstheme="majorBidi"/>
          <w:i/>
          <w:iCs/>
          <w:sz w:val="24"/>
          <w:szCs w:val="24"/>
        </w:rPr>
        <w:t>Toxoplasma </w:t>
      </w:r>
      <w:r w:rsidRPr="00093925">
        <w:rPr>
          <w:rFonts w:asciiTheme="majorBidi" w:eastAsia="Calibri" w:hAnsiTheme="majorBidi" w:cstheme="majorBidi"/>
          <w:sz w:val="24"/>
          <w:szCs w:val="24"/>
        </w:rPr>
        <w:t>infection</w:t>
      </w:r>
      <w:r w:rsidRPr="00093925">
        <w:rPr>
          <w:rFonts w:asciiTheme="majorBidi" w:eastAsia="Calibri" w:hAnsiTheme="majorBidi" w:cstheme="majorBidi"/>
          <w:i/>
          <w:iCs/>
          <w:sz w:val="24"/>
          <w:szCs w:val="24"/>
        </w:rPr>
        <w:t> </w:t>
      </w:r>
      <w:r w:rsidRPr="00093925">
        <w:rPr>
          <w:rFonts w:asciiTheme="majorBidi" w:eastAsia="Calibri" w:hAnsiTheme="majorBidi" w:cstheme="majorBidi"/>
          <w:sz w:val="24"/>
          <w:szCs w:val="24"/>
        </w:rPr>
        <w:t>amplifies the levels of the specific circulating anti-</w:t>
      </w:r>
      <w:r w:rsidRPr="00093925">
        <w:rPr>
          <w:rFonts w:asciiTheme="majorBidi" w:eastAsia="Calibri" w:hAnsiTheme="majorBidi" w:cstheme="majorBidi"/>
          <w:i/>
          <w:iCs/>
          <w:sz w:val="24"/>
          <w:szCs w:val="24"/>
        </w:rPr>
        <w:t>Toxoplasma</w:t>
      </w:r>
      <w:r w:rsidRPr="00093925">
        <w:rPr>
          <w:rFonts w:asciiTheme="majorBidi" w:eastAsia="Calibri" w:hAnsiTheme="majorBidi" w:cstheme="majorBidi"/>
          <w:sz w:val="24"/>
          <w:szCs w:val="24"/>
        </w:rPr>
        <w:t> immunoglobulins IgA, IgM, IgE and IgG [</w:t>
      </w:r>
      <w:r w:rsidR="00776A77" w:rsidRPr="00093925">
        <w:rPr>
          <w:rFonts w:asciiTheme="majorBidi" w:eastAsia="Calibri" w:hAnsiTheme="majorBidi" w:cstheme="majorBidi"/>
          <w:sz w:val="24"/>
          <w:szCs w:val="24"/>
        </w:rPr>
        <w:t>31</w:t>
      </w:r>
      <w:r w:rsidRPr="00093925">
        <w:rPr>
          <w:rFonts w:asciiTheme="majorBidi" w:eastAsia="Calibri" w:hAnsiTheme="majorBidi" w:cstheme="majorBidi"/>
          <w:sz w:val="24"/>
          <w:szCs w:val="24"/>
        </w:rPr>
        <w:t>,</w:t>
      </w:r>
      <w:r w:rsidR="00776A77" w:rsidRPr="00093925">
        <w:rPr>
          <w:rFonts w:asciiTheme="majorBidi" w:eastAsia="Calibri" w:hAnsiTheme="majorBidi" w:cstheme="majorBidi"/>
          <w:sz w:val="24"/>
          <w:szCs w:val="24"/>
        </w:rPr>
        <w:t>32</w:t>
      </w:r>
      <w:r w:rsidRPr="009B41EA">
        <w:rPr>
          <w:rFonts w:asciiTheme="majorBidi" w:eastAsia="Calibri" w:hAnsiTheme="majorBidi" w:cstheme="majorBidi"/>
          <w:sz w:val="24"/>
          <w:szCs w:val="24"/>
        </w:rPr>
        <w:t>]. The IgM and IgA appear during the 1</w:t>
      </w:r>
      <w:r w:rsidRPr="009B41EA">
        <w:rPr>
          <w:rFonts w:asciiTheme="majorBidi" w:eastAsia="Calibri" w:hAnsiTheme="majorBidi" w:cstheme="majorBidi"/>
          <w:sz w:val="24"/>
          <w:szCs w:val="24"/>
          <w:vertAlign w:val="superscript"/>
        </w:rPr>
        <w:t>st</w:t>
      </w:r>
      <w:r w:rsidRPr="009B41EA">
        <w:rPr>
          <w:rFonts w:asciiTheme="majorBidi" w:eastAsia="Calibri" w:hAnsiTheme="majorBidi" w:cstheme="majorBidi"/>
          <w:sz w:val="24"/>
          <w:szCs w:val="24"/>
        </w:rPr>
        <w:t xml:space="preserve"> week and reach their highest levels after </w:t>
      </w:r>
      <w:r w:rsidRPr="009B41EA">
        <w:rPr>
          <w:rFonts w:asciiTheme="majorBidi" w:eastAsia="Calibri" w:hAnsiTheme="majorBidi" w:cstheme="majorBidi"/>
          <w:sz w:val="24"/>
          <w:szCs w:val="24"/>
        </w:rPr>
        <w:lastRenderedPageBreak/>
        <w:t xml:space="preserve">approximately 30 days before declining to undetectable levels after several weeks to years </w:t>
      </w:r>
      <w:r w:rsidRPr="00093925">
        <w:rPr>
          <w:rFonts w:asciiTheme="majorBidi" w:eastAsia="Calibri" w:hAnsiTheme="majorBidi" w:cstheme="majorBidi"/>
          <w:sz w:val="24"/>
          <w:szCs w:val="24"/>
        </w:rPr>
        <w:t>[</w:t>
      </w:r>
      <w:r w:rsidR="00093925" w:rsidRPr="00093925">
        <w:rPr>
          <w:rFonts w:asciiTheme="majorBidi" w:eastAsia="Calibri" w:hAnsiTheme="majorBidi" w:cstheme="majorBidi"/>
          <w:sz w:val="24"/>
          <w:szCs w:val="24"/>
        </w:rPr>
        <w:t>33</w:t>
      </w:r>
      <w:r w:rsidRPr="00093925">
        <w:rPr>
          <w:rFonts w:asciiTheme="majorBidi" w:eastAsia="Calibri" w:hAnsiTheme="majorBidi" w:cstheme="majorBidi"/>
          <w:sz w:val="24"/>
          <w:szCs w:val="24"/>
        </w:rPr>
        <w:t>].</w:t>
      </w:r>
      <w:bookmarkStart w:id="4" w:name="_Hlk95334390"/>
      <w:r w:rsidRPr="009B41EA">
        <w:rPr>
          <w:rFonts w:asciiTheme="majorBidi" w:hAnsiTheme="majorBidi" w:cstheme="majorBidi"/>
          <w:sz w:val="24"/>
          <w:szCs w:val="24"/>
          <w:lang w:bidi="ar-IQ"/>
        </w:rPr>
        <w:t xml:space="preserve"> Whereas t</w:t>
      </w:r>
      <w:r w:rsidRPr="009B41EA">
        <w:rPr>
          <w:rFonts w:asciiTheme="majorBidi" w:eastAsia="Calibri" w:hAnsiTheme="majorBidi" w:cstheme="majorBidi"/>
          <w:sz w:val="24"/>
          <w:szCs w:val="24"/>
        </w:rPr>
        <w:t>he first detection of the IgG is evident 14 days after the IgM appearance and reaches a plateau after around 2-3 months following the infection, then steadily declines to a residual lifelong titer</w:t>
      </w:r>
      <w:bookmarkEnd w:id="4"/>
      <w:r w:rsidRPr="009B41EA">
        <w:rPr>
          <w:rFonts w:asciiTheme="majorBidi" w:eastAsia="Calibri" w:hAnsiTheme="majorBidi" w:cstheme="majorBidi"/>
          <w:sz w:val="24"/>
          <w:szCs w:val="24"/>
        </w:rPr>
        <w:t xml:space="preserve"> </w:t>
      </w:r>
      <w:r w:rsidRPr="00093925">
        <w:rPr>
          <w:rFonts w:asciiTheme="majorBidi" w:eastAsia="Calibri" w:hAnsiTheme="majorBidi" w:cstheme="majorBidi"/>
          <w:sz w:val="24"/>
          <w:szCs w:val="24"/>
        </w:rPr>
        <w:t>[</w:t>
      </w:r>
      <w:r w:rsidR="00093925" w:rsidRPr="00093925">
        <w:rPr>
          <w:rFonts w:asciiTheme="majorBidi" w:eastAsia="Calibri" w:hAnsiTheme="majorBidi" w:cstheme="majorBidi"/>
          <w:sz w:val="24"/>
          <w:szCs w:val="24"/>
        </w:rPr>
        <w:t>25</w:t>
      </w:r>
      <w:r w:rsidRPr="00093925">
        <w:rPr>
          <w:rFonts w:asciiTheme="majorBidi" w:eastAsia="Calibri" w:hAnsiTheme="majorBidi" w:cstheme="majorBidi"/>
          <w:sz w:val="24"/>
          <w:szCs w:val="24"/>
        </w:rPr>
        <w:t>,</w:t>
      </w:r>
      <w:r w:rsidR="00093925" w:rsidRPr="00093925">
        <w:rPr>
          <w:rFonts w:asciiTheme="majorBidi" w:eastAsia="Calibri" w:hAnsiTheme="majorBidi" w:cstheme="majorBidi"/>
          <w:sz w:val="24"/>
          <w:szCs w:val="24"/>
        </w:rPr>
        <w:t>33</w:t>
      </w:r>
      <w:r w:rsidRPr="00093925">
        <w:rPr>
          <w:rFonts w:asciiTheme="majorBidi" w:eastAsia="Calibri" w:hAnsiTheme="majorBidi" w:cstheme="majorBidi"/>
          <w:sz w:val="24"/>
          <w:szCs w:val="24"/>
        </w:rPr>
        <w:t>].</w:t>
      </w:r>
      <w:r w:rsidRPr="009B41EA">
        <w:rPr>
          <w:rFonts w:asciiTheme="majorBidi" w:eastAsia="Calibri" w:hAnsiTheme="majorBidi" w:cstheme="majorBidi"/>
          <w:sz w:val="24"/>
          <w:szCs w:val="24"/>
        </w:rPr>
        <w:t xml:space="preserve"> However,</w:t>
      </w:r>
      <w:r w:rsidRPr="009B41EA">
        <w:rPr>
          <w:rFonts w:asciiTheme="majorBidi" w:hAnsiTheme="majorBidi" w:cstheme="majorBidi"/>
          <w:sz w:val="24"/>
          <w:szCs w:val="24"/>
          <w:lang w:bidi="ar-IQ"/>
        </w:rPr>
        <w:t xml:space="preserve"> t</w:t>
      </w:r>
      <w:r w:rsidRPr="009B41EA">
        <w:rPr>
          <w:rFonts w:asciiTheme="majorBidi" w:eastAsia="Calibri" w:hAnsiTheme="majorBidi" w:cstheme="majorBidi"/>
          <w:sz w:val="24"/>
          <w:szCs w:val="24"/>
        </w:rPr>
        <w:t xml:space="preserve">he quantitative, qualitative and kinetic analyses of the antibodies, mostly the IgM and IgG, have a substantial value in the diagnosis, monitoring and epidemiological studies of </w:t>
      </w:r>
      <w:r w:rsidRPr="00093925">
        <w:rPr>
          <w:rFonts w:asciiTheme="majorBidi" w:eastAsia="Calibri" w:hAnsiTheme="majorBidi" w:cstheme="majorBidi"/>
          <w:sz w:val="24"/>
          <w:szCs w:val="24"/>
        </w:rPr>
        <w:t>toxoplasmosis [</w:t>
      </w:r>
      <w:r w:rsidR="00093925" w:rsidRPr="00093925">
        <w:rPr>
          <w:rFonts w:asciiTheme="majorBidi" w:eastAsia="Calibri" w:hAnsiTheme="majorBidi" w:cstheme="majorBidi"/>
          <w:sz w:val="24"/>
          <w:szCs w:val="24"/>
        </w:rPr>
        <w:t>34</w:t>
      </w:r>
      <w:r w:rsidRPr="00093925">
        <w:rPr>
          <w:rFonts w:asciiTheme="majorBidi" w:eastAsia="Calibri" w:hAnsiTheme="majorBidi" w:cstheme="majorBidi"/>
          <w:sz w:val="24"/>
          <w:szCs w:val="24"/>
        </w:rPr>
        <w:t>,</w:t>
      </w:r>
      <w:r w:rsidR="00093925" w:rsidRPr="00093925">
        <w:rPr>
          <w:rFonts w:asciiTheme="majorBidi" w:eastAsia="Calibri" w:hAnsiTheme="majorBidi" w:cstheme="majorBidi"/>
          <w:sz w:val="24"/>
          <w:szCs w:val="24"/>
        </w:rPr>
        <w:t>35</w:t>
      </w:r>
      <w:r w:rsidRPr="00093925">
        <w:rPr>
          <w:rFonts w:asciiTheme="majorBidi" w:eastAsia="Calibri" w:hAnsiTheme="majorBidi" w:cstheme="majorBidi"/>
          <w:sz w:val="24"/>
          <w:szCs w:val="24"/>
        </w:rPr>
        <w:t>].</w:t>
      </w:r>
      <w:r w:rsidRPr="009B41EA">
        <w:rPr>
          <w:rFonts w:asciiTheme="majorBidi" w:eastAsia="Calibri" w:hAnsiTheme="majorBidi" w:cstheme="majorBidi"/>
          <w:sz w:val="24"/>
          <w:szCs w:val="24"/>
        </w:rPr>
        <w:t xml:space="preserve"> While detecting the specific IgM of </w:t>
      </w:r>
      <w:r w:rsidRPr="009B41EA">
        <w:rPr>
          <w:rFonts w:asciiTheme="majorBidi" w:eastAsia="Calibri" w:hAnsiTheme="majorBidi" w:cstheme="majorBidi"/>
          <w:i/>
          <w:iCs/>
          <w:sz w:val="24"/>
          <w:szCs w:val="24"/>
        </w:rPr>
        <w:t>Toxoplasma</w:t>
      </w:r>
      <w:r w:rsidRPr="009B41EA">
        <w:rPr>
          <w:rFonts w:asciiTheme="majorBidi" w:eastAsia="Calibri" w:hAnsiTheme="majorBidi" w:cstheme="majorBidi"/>
          <w:sz w:val="24"/>
          <w:szCs w:val="24"/>
        </w:rPr>
        <w:t xml:space="preserve"> refers to a new exposure or ongoing active infection, the IgM antibodies might be long-lasting for more than 18 months after the primary exposure to </w:t>
      </w:r>
      <w:r w:rsidRPr="009B41EA">
        <w:rPr>
          <w:rFonts w:asciiTheme="majorBidi" w:eastAsia="Calibri" w:hAnsiTheme="majorBidi" w:cstheme="majorBidi"/>
          <w:i/>
          <w:iCs/>
          <w:sz w:val="24"/>
          <w:szCs w:val="24"/>
        </w:rPr>
        <w:t>Toxoplasma gondii</w:t>
      </w:r>
      <w:r w:rsidRPr="009B41EA">
        <w:rPr>
          <w:rFonts w:asciiTheme="majorBidi" w:eastAsia="Calibri" w:hAnsiTheme="majorBidi" w:cstheme="majorBidi"/>
          <w:sz w:val="24"/>
          <w:szCs w:val="24"/>
        </w:rPr>
        <w:t xml:space="preserve"> [</w:t>
      </w:r>
      <w:r w:rsidR="00D84190">
        <w:rPr>
          <w:rFonts w:asciiTheme="majorBidi" w:eastAsia="Calibri" w:hAnsiTheme="majorBidi" w:cstheme="majorBidi"/>
          <w:sz w:val="24"/>
          <w:szCs w:val="24"/>
        </w:rPr>
        <w:t>36</w:t>
      </w:r>
      <w:r w:rsidRPr="009B41EA">
        <w:rPr>
          <w:rFonts w:asciiTheme="majorBidi" w:eastAsia="Calibri" w:hAnsiTheme="majorBidi" w:cstheme="majorBidi"/>
          <w:sz w:val="24"/>
          <w:szCs w:val="24"/>
        </w:rPr>
        <w:t>]. On the other hand</w:t>
      </w:r>
      <w:r w:rsidRPr="005A75C3">
        <w:rPr>
          <w:rFonts w:asciiTheme="majorBidi" w:eastAsia="Calibri" w:hAnsiTheme="majorBidi" w:cstheme="majorBidi"/>
          <w:sz w:val="24"/>
          <w:szCs w:val="24"/>
        </w:rPr>
        <w:t xml:space="preserve">, the elevation of the specific </w:t>
      </w:r>
      <w:r w:rsidRPr="005A75C3">
        <w:rPr>
          <w:rFonts w:asciiTheme="majorBidi" w:eastAsia="Calibri" w:hAnsiTheme="majorBidi" w:cstheme="majorBidi"/>
          <w:i/>
          <w:iCs/>
          <w:sz w:val="24"/>
          <w:szCs w:val="24"/>
        </w:rPr>
        <w:t>Toxoplasma</w:t>
      </w:r>
      <w:r w:rsidRPr="005A75C3">
        <w:rPr>
          <w:rFonts w:asciiTheme="majorBidi" w:eastAsia="Calibri" w:hAnsiTheme="majorBidi" w:cstheme="majorBidi"/>
          <w:sz w:val="24"/>
          <w:szCs w:val="24"/>
        </w:rPr>
        <w:t> IgG may last for many years after the primary infection, although it may indicate to a secondary infection with the parasite [</w:t>
      </w:r>
      <w:r w:rsidR="00D84190">
        <w:rPr>
          <w:rFonts w:asciiTheme="majorBidi" w:eastAsia="Calibri" w:hAnsiTheme="majorBidi" w:cstheme="majorBidi"/>
          <w:sz w:val="24"/>
          <w:szCs w:val="24"/>
        </w:rPr>
        <w:t>37</w:t>
      </w:r>
      <w:r w:rsidRPr="005A75C3">
        <w:rPr>
          <w:rFonts w:asciiTheme="majorBidi" w:eastAsia="Calibri" w:hAnsiTheme="majorBidi" w:cstheme="majorBidi"/>
          <w:sz w:val="24"/>
          <w:szCs w:val="24"/>
        </w:rPr>
        <w:t>].</w:t>
      </w:r>
      <w:r w:rsidRPr="005A75C3">
        <w:rPr>
          <w:rFonts w:asciiTheme="majorBidi" w:hAnsiTheme="majorBidi" w:cstheme="majorBidi"/>
          <w:sz w:val="24"/>
          <w:szCs w:val="24"/>
          <w:lang w:bidi="ar-IQ"/>
        </w:rPr>
        <w:t xml:space="preserve"> The primary infection is relatively become confirmed if the specific </w:t>
      </w:r>
      <w:r w:rsidRPr="005A75C3">
        <w:rPr>
          <w:rFonts w:asciiTheme="majorBidi" w:hAnsiTheme="majorBidi" w:cstheme="majorBidi"/>
          <w:i/>
          <w:iCs/>
          <w:sz w:val="24"/>
          <w:szCs w:val="24"/>
          <w:lang w:bidi="ar-IQ"/>
        </w:rPr>
        <w:t>Toxoplasma</w:t>
      </w:r>
      <w:r w:rsidRPr="005A75C3">
        <w:rPr>
          <w:rFonts w:asciiTheme="majorBidi" w:hAnsiTheme="majorBidi" w:cstheme="majorBidi"/>
          <w:sz w:val="24"/>
          <w:szCs w:val="24"/>
          <w:lang w:bidi="ar-IQ"/>
        </w:rPr>
        <w:t> IgG appeared after the IgM. While chronic (ongoing) toxoplasmosis is usually diagnosed by detecting the anti-</w:t>
      </w:r>
      <w:r w:rsidRPr="005A75C3">
        <w:rPr>
          <w:rFonts w:asciiTheme="majorBidi" w:hAnsiTheme="majorBidi" w:cstheme="majorBidi"/>
          <w:i/>
          <w:iCs/>
          <w:sz w:val="24"/>
          <w:szCs w:val="24"/>
          <w:lang w:bidi="ar-IQ"/>
        </w:rPr>
        <w:t>Toxoplasma</w:t>
      </w:r>
      <w:r w:rsidRPr="005A75C3">
        <w:rPr>
          <w:rFonts w:asciiTheme="majorBidi" w:hAnsiTheme="majorBidi" w:cstheme="majorBidi"/>
          <w:sz w:val="24"/>
          <w:szCs w:val="24"/>
          <w:lang w:bidi="ar-IQ"/>
        </w:rPr>
        <w:t> IgG in the sera of the infected individuals [</w:t>
      </w:r>
      <w:r w:rsidR="00D84190">
        <w:rPr>
          <w:rFonts w:asciiTheme="majorBidi" w:hAnsiTheme="majorBidi" w:cstheme="majorBidi"/>
          <w:sz w:val="24"/>
          <w:szCs w:val="24"/>
          <w:lang w:bidi="ar-IQ"/>
        </w:rPr>
        <w:t>31</w:t>
      </w:r>
      <w:r w:rsidRPr="005A75C3">
        <w:rPr>
          <w:rFonts w:asciiTheme="majorBidi" w:hAnsiTheme="majorBidi" w:cstheme="majorBidi"/>
          <w:sz w:val="24"/>
          <w:szCs w:val="24"/>
          <w:lang w:bidi="ar-IQ"/>
        </w:rPr>
        <w:t>], nonetheless, detecting the IgM and/ or the IgA antibodies usually refers to the acute phase of the disease [</w:t>
      </w:r>
      <w:r w:rsidR="00D84190">
        <w:rPr>
          <w:rFonts w:asciiTheme="majorBidi" w:hAnsiTheme="majorBidi" w:cstheme="majorBidi"/>
          <w:sz w:val="24"/>
          <w:szCs w:val="24"/>
          <w:lang w:bidi="ar-IQ"/>
        </w:rPr>
        <w:t>38</w:t>
      </w:r>
      <w:r w:rsidRPr="005A75C3">
        <w:rPr>
          <w:rFonts w:asciiTheme="majorBidi" w:hAnsiTheme="majorBidi" w:cstheme="majorBidi"/>
          <w:sz w:val="24"/>
          <w:szCs w:val="24"/>
          <w:lang w:bidi="ar-IQ"/>
        </w:rPr>
        <w:t>].</w:t>
      </w:r>
    </w:p>
    <w:p w14:paraId="4C1CAC6D" w14:textId="4232A290" w:rsidR="007F1EFD" w:rsidRDefault="007F1EFD" w:rsidP="0091777B">
      <w:pPr>
        <w:spacing w:after="0" w:line="276" w:lineRule="auto"/>
        <w:jc w:val="both"/>
        <w:rPr>
          <w:rFonts w:asciiTheme="majorBidi" w:eastAsia="Calibri" w:hAnsiTheme="majorBidi" w:cstheme="majorBidi"/>
          <w:sz w:val="24"/>
          <w:szCs w:val="24"/>
        </w:rPr>
      </w:pPr>
      <w:r w:rsidRPr="005A75C3">
        <w:rPr>
          <w:rFonts w:asciiTheme="majorBidi" w:eastAsia="Calibri" w:hAnsiTheme="majorBidi" w:cstheme="majorBidi"/>
          <w:sz w:val="24"/>
          <w:szCs w:val="24"/>
        </w:rPr>
        <w:t xml:space="preserve">     Chitinase-3 like-protein-1 or YKL-40 is a glycoprotein that belongs to the glycoside hydrolase family 18. </w:t>
      </w:r>
      <w:r w:rsidRPr="005A75C3">
        <w:rPr>
          <w:rFonts w:asciiTheme="majorBidi" w:eastAsia="Calibri" w:hAnsiTheme="majorBidi" w:cstheme="majorBidi"/>
          <w:sz w:val="24"/>
          <w:szCs w:val="24"/>
          <w:lang w:val="en-GB"/>
        </w:rPr>
        <w:t>Rang of cells are responsible for the synthesis, secretion and regulation of YKL-40, such as the macrophage, neutrophils, chondrocytes, synoviocytes, tumor cells</w:t>
      </w:r>
      <w:r w:rsidRPr="005A75C3">
        <w:rPr>
          <w:rFonts w:asciiTheme="majorBidi" w:eastAsia="Calibri" w:hAnsiTheme="majorBidi" w:cstheme="majorBidi"/>
          <w:sz w:val="24"/>
          <w:szCs w:val="24"/>
        </w:rPr>
        <w:t xml:space="preserve"> [</w:t>
      </w:r>
      <w:r w:rsidR="00B16068">
        <w:rPr>
          <w:rFonts w:asciiTheme="majorBidi" w:eastAsia="Calibri" w:hAnsiTheme="majorBidi" w:cstheme="majorBidi"/>
          <w:sz w:val="24"/>
          <w:szCs w:val="24"/>
        </w:rPr>
        <w:t>39</w:t>
      </w:r>
      <w:r w:rsidRPr="005A75C3">
        <w:rPr>
          <w:rFonts w:asciiTheme="majorBidi" w:eastAsia="Calibri" w:hAnsiTheme="majorBidi" w:cstheme="majorBidi"/>
          <w:sz w:val="24"/>
          <w:szCs w:val="24"/>
        </w:rPr>
        <w:t>,4</w:t>
      </w:r>
      <w:r w:rsidR="00B16068">
        <w:rPr>
          <w:rFonts w:asciiTheme="majorBidi" w:eastAsia="Calibri" w:hAnsiTheme="majorBidi" w:cstheme="majorBidi"/>
          <w:sz w:val="24"/>
          <w:szCs w:val="24"/>
        </w:rPr>
        <w:t>0</w:t>
      </w:r>
      <w:r w:rsidRPr="005A75C3">
        <w:rPr>
          <w:rFonts w:asciiTheme="majorBidi" w:eastAsia="Calibri" w:hAnsiTheme="majorBidi" w:cstheme="majorBidi"/>
          <w:sz w:val="24"/>
          <w:szCs w:val="24"/>
        </w:rPr>
        <w:t>,4</w:t>
      </w:r>
      <w:r w:rsidR="00B16068">
        <w:rPr>
          <w:rFonts w:asciiTheme="majorBidi" w:eastAsia="Calibri" w:hAnsiTheme="majorBidi" w:cstheme="majorBidi"/>
          <w:sz w:val="24"/>
          <w:szCs w:val="24"/>
        </w:rPr>
        <w:t>1</w:t>
      </w:r>
      <w:r w:rsidRPr="005A75C3">
        <w:rPr>
          <w:rFonts w:asciiTheme="majorBidi" w:eastAsia="Calibri" w:hAnsiTheme="majorBidi" w:cstheme="majorBidi"/>
          <w:sz w:val="24"/>
          <w:szCs w:val="24"/>
        </w:rPr>
        <w:t xml:space="preserve">], </w:t>
      </w:r>
      <w:r w:rsidRPr="005A75C3">
        <w:rPr>
          <w:rFonts w:asciiTheme="majorBidi" w:eastAsia="Calibri" w:hAnsiTheme="majorBidi" w:cstheme="majorBidi"/>
          <w:sz w:val="24"/>
          <w:szCs w:val="24"/>
          <w:lang w:val="en-GB"/>
        </w:rPr>
        <w:t>smooth muscle cell (SMC), hepatic stellate cells (HSC) and fibroblast-like cells (FLC) [</w:t>
      </w:r>
      <w:r w:rsidR="00B16068">
        <w:rPr>
          <w:rFonts w:asciiTheme="majorBidi" w:eastAsia="Calibri" w:hAnsiTheme="majorBidi" w:cstheme="majorBidi"/>
          <w:sz w:val="24"/>
          <w:szCs w:val="24"/>
          <w:lang w:val="en-GB"/>
        </w:rPr>
        <w:t>39</w:t>
      </w:r>
      <w:r w:rsidRPr="005A75C3">
        <w:rPr>
          <w:rFonts w:asciiTheme="majorBidi" w:eastAsia="Calibri" w:hAnsiTheme="majorBidi" w:cstheme="majorBidi"/>
          <w:sz w:val="24"/>
          <w:szCs w:val="24"/>
          <w:lang w:val="en-GB"/>
        </w:rPr>
        <w:t>,4</w:t>
      </w:r>
      <w:r w:rsidR="00B16068">
        <w:rPr>
          <w:rFonts w:asciiTheme="majorBidi" w:eastAsia="Calibri" w:hAnsiTheme="majorBidi" w:cstheme="majorBidi"/>
          <w:sz w:val="24"/>
          <w:szCs w:val="24"/>
          <w:lang w:val="en-GB"/>
        </w:rPr>
        <w:t>40</w:t>
      </w:r>
      <w:r w:rsidRPr="005A75C3">
        <w:rPr>
          <w:rFonts w:asciiTheme="majorBidi" w:eastAsia="Calibri" w:hAnsiTheme="majorBidi" w:cstheme="majorBidi"/>
          <w:sz w:val="24"/>
          <w:szCs w:val="24"/>
          <w:lang w:val="en-GB"/>
        </w:rPr>
        <w:t>,4</w:t>
      </w:r>
      <w:r w:rsidR="00B16068">
        <w:rPr>
          <w:rFonts w:asciiTheme="majorBidi" w:eastAsia="Calibri" w:hAnsiTheme="majorBidi" w:cstheme="majorBidi"/>
          <w:sz w:val="24"/>
          <w:szCs w:val="24"/>
          <w:lang w:val="en-GB"/>
        </w:rPr>
        <w:t>2</w:t>
      </w:r>
      <w:r w:rsidRPr="005A75C3">
        <w:rPr>
          <w:rFonts w:asciiTheme="majorBidi" w:eastAsia="Calibri" w:hAnsiTheme="majorBidi" w:cstheme="majorBidi"/>
          <w:sz w:val="24"/>
          <w:szCs w:val="24"/>
          <w:lang w:val="en-GB"/>
        </w:rPr>
        <w:t>]</w:t>
      </w:r>
      <w:r w:rsidRPr="005A75C3">
        <w:rPr>
          <w:rFonts w:asciiTheme="majorBidi" w:eastAsia="Calibri" w:hAnsiTheme="majorBidi" w:cstheme="majorBidi"/>
          <w:sz w:val="24"/>
          <w:szCs w:val="24"/>
        </w:rPr>
        <w:t xml:space="preserve">. Its </w:t>
      </w:r>
      <w:r w:rsidRPr="005A75C3">
        <w:rPr>
          <w:rFonts w:asciiTheme="majorBidi" w:eastAsia="Calibri" w:hAnsiTheme="majorBidi" w:cstheme="majorBidi"/>
          <w:sz w:val="24"/>
          <w:szCs w:val="24"/>
          <w:lang w:val="en-GB"/>
        </w:rPr>
        <w:t xml:space="preserve">expression is controlled by miRNAs, cytokines, growth factors (GF), drugs and stress. </w:t>
      </w:r>
      <w:r w:rsidRPr="005A75C3">
        <w:rPr>
          <w:rFonts w:asciiTheme="majorBidi" w:eastAsia="Calibri" w:hAnsiTheme="majorBidi" w:cstheme="majorBidi"/>
          <w:sz w:val="24"/>
          <w:szCs w:val="24"/>
        </w:rPr>
        <w:t>The YKL-40 has important functions in many biological processes. It plays a major role in the inflammatory reactions, tissue injury, remodeling and repair [4</w:t>
      </w:r>
      <w:r w:rsidR="00B16068">
        <w:rPr>
          <w:rFonts w:asciiTheme="majorBidi" w:eastAsia="Calibri" w:hAnsiTheme="majorBidi" w:cstheme="majorBidi"/>
          <w:sz w:val="24"/>
          <w:szCs w:val="24"/>
        </w:rPr>
        <w:t>3</w:t>
      </w:r>
      <w:r w:rsidRPr="005A75C3">
        <w:rPr>
          <w:rFonts w:asciiTheme="majorBidi" w:eastAsia="Calibri" w:hAnsiTheme="majorBidi" w:cstheme="majorBidi"/>
          <w:sz w:val="24"/>
          <w:szCs w:val="24"/>
        </w:rPr>
        <w:t>], and it has a strong correlation with many diseases [4</w:t>
      </w:r>
      <w:r w:rsidR="00B16068">
        <w:rPr>
          <w:rFonts w:asciiTheme="majorBidi" w:eastAsia="Calibri" w:hAnsiTheme="majorBidi" w:cstheme="majorBidi"/>
          <w:sz w:val="24"/>
          <w:szCs w:val="24"/>
        </w:rPr>
        <w:t>4</w:t>
      </w:r>
      <w:r w:rsidRPr="005A75C3">
        <w:rPr>
          <w:rFonts w:asciiTheme="majorBidi" w:eastAsia="Calibri" w:hAnsiTheme="majorBidi" w:cstheme="majorBidi"/>
          <w:sz w:val="24"/>
          <w:szCs w:val="24"/>
        </w:rPr>
        <w:t>].</w:t>
      </w:r>
      <w:bookmarkStart w:id="5" w:name="_Hlk92417563"/>
      <w:r w:rsidRPr="005A75C3">
        <w:rPr>
          <w:rFonts w:asciiTheme="majorBidi" w:eastAsia="Calibri" w:hAnsiTheme="majorBidi" w:cstheme="majorBidi"/>
          <w:sz w:val="24"/>
          <w:szCs w:val="24"/>
        </w:rPr>
        <w:t xml:space="preserve"> However, it is still unknown </w:t>
      </w:r>
      <w:bookmarkStart w:id="6" w:name="_Hlk100799756"/>
      <w:r w:rsidRPr="005A75C3">
        <w:rPr>
          <w:rFonts w:asciiTheme="majorBidi" w:eastAsia="Calibri" w:hAnsiTheme="majorBidi" w:cstheme="majorBidi"/>
          <w:sz w:val="24"/>
          <w:szCs w:val="24"/>
        </w:rPr>
        <w:t>if YKL-40 is markedly secreted in Toxoplasmosis or not and if its level is different in the acute or chronic stage of the</w:t>
      </w:r>
      <w:r w:rsidRPr="009B41EA">
        <w:rPr>
          <w:rFonts w:asciiTheme="majorBidi" w:eastAsia="Calibri" w:hAnsiTheme="majorBidi" w:cstheme="majorBidi"/>
          <w:sz w:val="24"/>
          <w:szCs w:val="24"/>
        </w:rPr>
        <w:t xml:space="preserve"> infection.</w:t>
      </w:r>
      <w:bookmarkEnd w:id="5"/>
      <w:bookmarkEnd w:id="6"/>
      <w:r w:rsidR="0091777B" w:rsidRPr="0091777B">
        <w:rPr>
          <w:rFonts w:asciiTheme="majorBidi" w:eastAsia="Calibri" w:hAnsiTheme="majorBidi" w:cstheme="majorBidi"/>
          <w:sz w:val="24"/>
          <w:szCs w:val="24"/>
        </w:rPr>
        <w:t xml:space="preserve"> Therefore, The current study aimed to determine if the YKL-40 is markedly increased in toxoplasmosis or not and if its level is different between the acute and chronic phases of the infection to determine if it can be used as a clinically useful biomarker in the diagnosis, determination of disease severity and follow up of toxoplasmosis.</w:t>
      </w:r>
    </w:p>
    <w:p w14:paraId="78067532" w14:textId="2ACB088C" w:rsidR="007F1EFD" w:rsidRDefault="007F1EFD" w:rsidP="003C2993">
      <w:pPr>
        <w:spacing w:before="240" w:after="0" w:line="276" w:lineRule="auto"/>
        <w:jc w:val="both"/>
        <w:rPr>
          <w:rFonts w:asciiTheme="majorBidi" w:eastAsia="Calibri" w:hAnsiTheme="majorBidi" w:cstheme="majorBidi"/>
          <w:sz w:val="24"/>
          <w:szCs w:val="24"/>
        </w:rPr>
      </w:pPr>
    </w:p>
    <w:p w14:paraId="7A8EC2C8" w14:textId="242173ED" w:rsidR="007F1EFD" w:rsidRPr="007F1EFD" w:rsidRDefault="007F1EFD" w:rsidP="003C2993">
      <w:pPr>
        <w:spacing w:after="0" w:line="276" w:lineRule="auto"/>
        <w:jc w:val="both"/>
        <w:rPr>
          <w:rFonts w:asciiTheme="majorBidi" w:eastAsia="Calibri" w:hAnsiTheme="majorBidi" w:cstheme="majorBidi"/>
          <w:b/>
          <w:bCs/>
          <w:sz w:val="24"/>
          <w:szCs w:val="24"/>
        </w:rPr>
      </w:pPr>
      <w:r w:rsidRPr="007F1EFD">
        <w:rPr>
          <w:rFonts w:asciiTheme="majorBidi" w:eastAsia="Calibri" w:hAnsiTheme="majorBidi" w:cstheme="majorBidi"/>
          <w:b/>
          <w:bCs/>
          <w:sz w:val="24"/>
          <w:szCs w:val="24"/>
        </w:rPr>
        <w:t>Materials and Methods</w:t>
      </w:r>
    </w:p>
    <w:p w14:paraId="51D36C6A" w14:textId="248BDA5E" w:rsidR="007F1EFD" w:rsidRPr="007F1EFD" w:rsidRDefault="006B6F17" w:rsidP="003C2993">
      <w:pPr>
        <w:spacing w:after="0" w:line="276"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w:t>
      </w:r>
      <w:r w:rsidR="007F1EFD" w:rsidRPr="007F1EFD">
        <w:rPr>
          <w:rFonts w:asciiTheme="majorBidi" w:eastAsia="Calibri" w:hAnsiTheme="majorBidi" w:cstheme="majorBidi"/>
          <w:b/>
          <w:bCs/>
          <w:sz w:val="24"/>
          <w:szCs w:val="24"/>
        </w:rPr>
        <w:t>Sample</w:t>
      </w:r>
      <w:r>
        <w:rPr>
          <w:rFonts w:asciiTheme="majorBidi" w:eastAsia="Calibri" w:hAnsiTheme="majorBidi" w:cstheme="majorBidi"/>
          <w:b/>
          <w:bCs/>
          <w:sz w:val="24"/>
          <w:szCs w:val="24"/>
        </w:rPr>
        <w:t>s</w:t>
      </w:r>
      <w:r w:rsidR="007F1EFD" w:rsidRPr="007F1EFD">
        <w:rPr>
          <w:rFonts w:asciiTheme="majorBidi" w:eastAsia="Calibri" w:hAnsiTheme="majorBidi" w:cstheme="majorBidi"/>
          <w:b/>
          <w:bCs/>
          <w:sz w:val="24"/>
          <w:szCs w:val="24"/>
        </w:rPr>
        <w:t xml:space="preserve"> collection</w:t>
      </w:r>
    </w:p>
    <w:p w14:paraId="6F5DAA76" w14:textId="668D3BE3" w:rsidR="00FF4764" w:rsidRDefault="007F1EFD" w:rsidP="00007AAC">
      <w:pPr>
        <w:spacing w:after="0" w:line="276" w:lineRule="auto"/>
        <w:jc w:val="both"/>
        <w:rPr>
          <w:rFonts w:asciiTheme="majorBidi" w:eastAsia="Calibri" w:hAnsiTheme="majorBidi" w:cstheme="majorBidi"/>
          <w:sz w:val="24"/>
          <w:szCs w:val="24"/>
        </w:rPr>
      </w:pPr>
      <w:bookmarkStart w:id="7" w:name="_Hlk100800469"/>
      <w:r w:rsidRPr="007F1EFD">
        <w:rPr>
          <w:rFonts w:asciiTheme="majorBidi" w:eastAsia="Calibri" w:hAnsiTheme="majorBidi" w:cstheme="majorBidi"/>
          <w:sz w:val="24"/>
          <w:szCs w:val="24"/>
        </w:rPr>
        <w:t xml:space="preserve">     </w:t>
      </w:r>
      <w:bookmarkEnd w:id="7"/>
      <w:r w:rsidRPr="007F1EFD">
        <w:rPr>
          <w:rFonts w:asciiTheme="majorBidi" w:eastAsia="Calibri" w:hAnsiTheme="majorBidi" w:cstheme="majorBidi"/>
          <w:sz w:val="24"/>
          <w:szCs w:val="24"/>
        </w:rPr>
        <w:t>A total of eighty serum samples were collected from previously diagnosed female patients with toxoplasmosis of different age</w:t>
      </w:r>
      <w:r w:rsidRPr="00132882">
        <w:rPr>
          <w:rFonts w:asciiTheme="majorBidi" w:eastAsia="Calibri" w:hAnsiTheme="majorBidi" w:cstheme="majorBidi"/>
          <w:sz w:val="24"/>
          <w:szCs w:val="24"/>
        </w:rPr>
        <w:t>s</w:t>
      </w:r>
      <w:r w:rsidR="00007AAC" w:rsidRPr="00132882">
        <w:rPr>
          <w:rFonts w:asciiTheme="majorBidi" w:eastAsia="Calibri" w:hAnsiTheme="majorBidi" w:cstheme="majorBidi"/>
          <w:sz w:val="24"/>
          <w:szCs w:val="24"/>
        </w:rPr>
        <w:t>,</w:t>
      </w:r>
      <w:r w:rsidRPr="00132882">
        <w:rPr>
          <w:rFonts w:asciiTheme="majorBidi" w:eastAsia="Calibri" w:hAnsiTheme="majorBidi" w:cstheme="majorBidi"/>
          <w:sz w:val="24"/>
          <w:szCs w:val="24"/>
        </w:rPr>
        <w:t xml:space="preserve"> </w:t>
      </w:r>
      <w:r w:rsidRPr="007F1EFD">
        <w:rPr>
          <w:rFonts w:asciiTheme="majorBidi" w:eastAsia="Calibri" w:hAnsiTheme="majorBidi" w:cstheme="majorBidi"/>
          <w:sz w:val="24"/>
          <w:szCs w:val="24"/>
        </w:rPr>
        <w:t xml:space="preserve">and they did not complain of any other diseases, in addition to ten healthy females used as a control. Yet, the IgM and IgG tests were repeated for them to confirm and differentiate between the acute and chronic infections. Serum samples were collected from July 2020 until February 2021 from the department of gynecology in Al-Elwiyah and Kamal Al-Samarrai Hospitals in Baghdad, Bint Al-Huda Teaching Hospital, Al-Shatrah General Hospital in Dhi-Qar, Babil Teaching Hospital for Maternity and Children in Babil and Basrah General </w:t>
      </w:r>
      <w:r w:rsidRPr="007F1EFD">
        <w:rPr>
          <w:rFonts w:asciiTheme="majorBidi" w:eastAsia="Calibri" w:hAnsiTheme="majorBidi" w:cstheme="majorBidi"/>
          <w:sz w:val="24"/>
          <w:szCs w:val="24"/>
        </w:rPr>
        <w:lastRenderedPageBreak/>
        <w:t xml:space="preserve">Hospital in Al-Basrah, in addition to Ur private gynecology clinics in Dhi-Qar, Ozone private medical laboratory, Ibn Al-Bitar laboratory in Dhi-Qar and </w:t>
      </w:r>
      <w:bookmarkStart w:id="8" w:name="_Hlk102081086"/>
      <w:r w:rsidRPr="007F1EFD">
        <w:rPr>
          <w:rFonts w:asciiTheme="majorBidi" w:eastAsia="Calibri" w:hAnsiTheme="majorBidi" w:cstheme="majorBidi"/>
          <w:sz w:val="24"/>
          <w:szCs w:val="24"/>
        </w:rPr>
        <w:t xml:space="preserve">Maysan </w:t>
      </w:r>
      <w:bookmarkEnd w:id="8"/>
      <w:r w:rsidRPr="007F1EFD">
        <w:rPr>
          <w:rFonts w:asciiTheme="majorBidi" w:eastAsia="Calibri" w:hAnsiTheme="majorBidi" w:cstheme="majorBidi"/>
          <w:sz w:val="24"/>
          <w:szCs w:val="24"/>
        </w:rPr>
        <w:t xml:space="preserve">medical laboratory in Maysan. </w:t>
      </w:r>
    </w:p>
    <w:p w14:paraId="232574E2" w14:textId="2F5BC9E9" w:rsidR="007F1EFD" w:rsidRPr="007F1EFD" w:rsidRDefault="007F1EFD" w:rsidP="00FF4764">
      <w:pPr>
        <w:spacing w:before="240" w:after="0" w:line="276" w:lineRule="auto"/>
        <w:jc w:val="both"/>
        <w:rPr>
          <w:rFonts w:asciiTheme="majorBidi" w:eastAsia="Calibri" w:hAnsiTheme="majorBidi" w:cstheme="majorBidi"/>
          <w:sz w:val="24"/>
          <w:szCs w:val="24"/>
        </w:rPr>
      </w:pPr>
      <w:r w:rsidRPr="007F1EFD">
        <w:rPr>
          <w:rFonts w:asciiTheme="majorBidi" w:eastAsia="Calibri" w:hAnsiTheme="majorBidi" w:cstheme="majorBidi"/>
          <w:sz w:val="24"/>
          <w:szCs w:val="24"/>
        </w:rPr>
        <w:t xml:space="preserve">     A total of 5mL of venous blood were collected from the subjects and the control in gel tubes, then centrifuged for five minutes at 5000 rpm. The serum was collected and stored at -20˚C until use. Finally, samples were tested using the serological testing kits: Anti-</w:t>
      </w:r>
      <w:r w:rsidRPr="007F1EFD">
        <w:rPr>
          <w:rFonts w:asciiTheme="majorBidi" w:eastAsia="Calibri" w:hAnsiTheme="majorBidi" w:cstheme="majorBidi"/>
          <w:i/>
          <w:iCs/>
          <w:sz w:val="24"/>
          <w:szCs w:val="24"/>
        </w:rPr>
        <w:t>Toxoplasma</w:t>
      </w:r>
      <w:r w:rsidRPr="007F1EFD">
        <w:rPr>
          <w:rFonts w:asciiTheme="majorBidi" w:eastAsia="Calibri" w:hAnsiTheme="majorBidi" w:cstheme="majorBidi"/>
          <w:sz w:val="24"/>
          <w:szCs w:val="24"/>
        </w:rPr>
        <w:t> IgM EIA, Anti-</w:t>
      </w:r>
      <w:r w:rsidRPr="007F1EFD">
        <w:rPr>
          <w:rFonts w:asciiTheme="majorBidi" w:eastAsia="Calibri" w:hAnsiTheme="majorBidi" w:cstheme="majorBidi"/>
          <w:i/>
          <w:iCs/>
          <w:sz w:val="24"/>
          <w:szCs w:val="24"/>
        </w:rPr>
        <w:t>Toxoplasma</w:t>
      </w:r>
      <w:r w:rsidRPr="007F1EFD">
        <w:rPr>
          <w:rFonts w:asciiTheme="majorBidi" w:eastAsia="Calibri" w:hAnsiTheme="majorBidi" w:cstheme="majorBidi"/>
          <w:sz w:val="24"/>
          <w:szCs w:val="24"/>
        </w:rPr>
        <w:t> IgG EIA Kits (Foresight ACON Laboratories, USA), and Human CHI3L1 ELISA Kit (MyBiosource, USA). Tests were performed according to the manufacturer’s instructions accompanied each kit.</w:t>
      </w:r>
    </w:p>
    <w:p w14:paraId="3EE22860" w14:textId="77777777" w:rsidR="00FC3387" w:rsidRDefault="00FC3387" w:rsidP="00FC3387">
      <w:pPr>
        <w:spacing w:before="240" w:after="0" w:line="276" w:lineRule="auto"/>
        <w:jc w:val="both"/>
        <w:rPr>
          <w:rFonts w:asciiTheme="majorBidi" w:eastAsia="Calibri" w:hAnsiTheme="majorBidi" w:cstheme="majorBidi"/>
          <w:b/>
          <w:bCs/>
          <w:sz w:val="24"/>
          <w:szCs w:val="24"/>
        </w:rPr>
      </w:pPr>
    </w:p>
    <w:p w14:paraId="6F01D259" w14:textId="156AD7B6" w:rsidR="007F1EFD" w:rsidRPr="007F1EFD" w:rsidRDefault="007F1EFD" w:rsidP="00FC3387">
      <w:pPr>
        <w:spacing w:before="240" w:after="0" w:line="276" w:lineRule="auto"/>
        <w:jc w:val="both"/>
        <w:rPr>
          <w:rFonts w:asciiTheme="majorBidi" w:eastAsia="Calibri" w:hAnsiTheme="majorBidi" w:cstheme="majorBidi"/>
          <w:sz w:val="24"/>
          <w:szCs w:val="24"/>
        </w:rPr>
      </w:pPr>
      <w:r w:rsidRPr="007F1EFD">
        <w:rPr>
          <w:rFonts w:asciiTheme="majorBidi" w:eastAsia="Calibri" w:hAnsiTheme="majorBidi" w:cstheme="majorBidi"/>
          <w:b/>
          <w:bCs/>
          <w:sz w:val="24"/>
          <w:szCs w:val="24"/>
        </w:rPr>
        <w:t>Data Management and analysis</w:t>
      </w:r>
      <w:r w:rsidRPr="007F1EFD">
        <w:rPr>
          <w:rFonts w:asciiTheme="majorBidi" w:eastAsia="Calibri" w:hAnsiTheme="majorBidi" w:cstheme="majorBidi"/>
          <w:sz w:val="24"/>
          <w:szCs w:val="24"/>
        </w:rPr>
        <w:t xml:space="preserve"> </w:t>
      </w:r>
    </w:p>
    <w:p w14:paraId="33EF8EC7" w14:textId="6B242BC1" w:rsidR="007F1EFD" w:rsidRPr="007F1EFD" w:rsidRDefault="003C2993" w:rsidP="00FB695B">
      <w:pPr>
        <w:spacing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7F1EFD" w:rsidRPr="007F1EFD">
        <w:rPr>
          <w:rFonts w:asciiTheme="majorBidi" w:eastAsia="Calibri" w:hAnsiTheme="majorBidi" w:cstheme="majorBidi"/>
          <w:sz w:val="24"/>
          <w:szCs w:val="24"/>
        </w:rPr>
        <w:t xml:space="preserve">Statistical analysis of data was performed using SPSS software (version 25.0). Descriptive statistics (frequencies and percentages) were used to summarize the dependent variables and the resulting variables. The value of </w:t>
      </w:r>
      <w:r w:rsidR="007F1EFD" w:rsidRPr="007F1EFD">
        <w:rPr>
          <w:rFonts w:asciiTheme="majorBidi" w:eastAsia="Calibri" w:hAnsiTheme="majorBidi" w:cstheme="majorBidi"/>
          <w:i/>
          <w:iCs/>
          <w:sz w:val="24"/>
          <w:szCs w:val="24"/>
        </w:rPr>
        <w:t>p</w:t>
      </w:r>
      <w:r w:rsidR="007F1EFD" w:rsidRPr="007F1EFD">
        <w:rPr>
          <w:rFonts w:asciiTheme="majorBidi" w:eastAsia="Calibri" w:hAnsiTheme="majorBidi" w:cstheme="majorBidi"/>
          <w:sz w:val="24"/>
          <w:szCs w:val="24"/>
        </w:rPr>
        <w:t xml:space="preserve"> = 0.05 considered statistically significant.</w:t>
      </w:r>
    </w:p>
    <w:p w14:paraId="0845383F" w14:textId="77777777" w:rsidR="007F1EFD" w:rsidRPr="007F1EFD" w:rsidRDefault="007F1EFD" w:rsidP="003C2993">
      <w:pPr>
        <w:spacing w:after="0" w:line="276" w:lineRule="auto"/>
        <w:jc w:val="both"/>
        <w:rPr>
          <w:rFonts w:asciiTheme="majorBidi" w:eastAsia="Calibri" w:hAnsiTheme="majorBidi" w:cstheme="majorBidi"/>
          <w:b/>
          <w:bCs/>
          <w:sz w:val="24"/>
          <w:szCs w:val="24"/>
          <w:lang w:val="en-GB"/>
        </w:rPr>
      </w:pPr>
    </w:p>
    <w:p w14:paraId="628B7518" w14:textId="11362B09" w:rsidR="007F1EFD" w:rsidRPr="007F1EFD" w:rsidRDefault="007F1EFD" w:rsidP="00484B66">
      <w:pPr>
        <w:spacing w:after="0" w:line="276" w:lineRule="auto"/>
        <w:jc w:val="both"/>
        <w:rPr>
          <w:rFonts w:asciiTheme="majorBidi" w:eastAsia="Calibri" w:hAnsiTheme="majorBidi" w:cstheme="majorBidi"/>
          <w:b/>
          <w:bCs/>
          <w:sz w:val="24"/>
          <w:szCs w:val="24"/>
          <w:lang w:val="en-GB"/>
        </w:rPr>
      </w:pPr>
      <w:r w:rsidRPr="007F1EFD">
        <w:rPr>
          <w:rFonts w:asciiTheme="majorBidi" w:eastAsia="Calibri" w:hAnsiTheme="majorBidi" w:cstheme="majorBidi"/>
          <w:b/>
          <w:bCs/>
          <w:sz w:val="24"/>
          <w:szCs w:val="24"/>
          <w:lang w:val="en-GB"/>
        </w:rPr>
        <w:t>Results</w:t>
      </w:r>
    </w:p>
    <w:p w14:paraId="1B17FA01" w14:textId="006FD65F" w:rsidR="007F1EFD" w:rsidRPr="007F1EFD" w:rsidRDefault="003C2993" w:rsidP="003C2993">
      <w:pPr>
        <w:spacing w:after="0" w:line="276" w:lineRule="auto"/>
        <w:jc w:val="both"/>
        <w:rPr>
          <w:rFonts w:asciiTheme="majorBidi" w:eastAsia="Calibri" w:hAnsiTheme="majorBidi" w:cstheme="majorBidi"/>
          <w:b/>
          <w:bCs/>
          <w:sz w:val="24"/>
          <w:szCs w:val="24"/>
          <w:lang w:val="en"/>
        </w:rPr>
      </w:pPr>
      <w:r>
        <w:rPr>
          <w:rFonts w:asciiTheme="majorBidi" w:eastAsia="Calibri" w:hAnsiTheme="majorBidi" w:cstheme="majorBidi"/>
          <w:b/>
          <w:bCs/>
          <w:sz w:val="24"/>
          <w:szCs w:val="24"/>
        </w:rPr>
        <w:t>-</w:t>
      </w:r>
      <w:r w:rsidR="007F1EFD" w:rsidRPr="007F1EFD">
        <w:rPr>
          <w:rFonts w:asciiTheme="majorBidi" w:eastAsia="Calibri" w:hAnsiTheme="majorBidi" w:cstheme="majorBidi"/>
          <w:b/>
          <w:bCs/>
          <w:sz w:val="24"/>
          <w:szCs w:val="24"/>
        </w:rPr>
        <w:t>IgM and IgG levels</w:t>
      </w:r>
    </w:p>
    <w:p w14:paraId="2E6279FC" w14:textId="1E132676" w:rsidR="00FF4764" w:rsidRDefault="007F1EFD" w:rsidP="00FF4764">
      <w:pPr>
        <w:spacing w:after="0" w:line="276" w:lineRule="auto"/>
        <w:jc w:val="both"/>
        <w:rPr>
          <w:rFonts w:asciiTheme="majorBidi" w:eastAsia="Calibri" w:hAnsiTheme="majorBidi" w:cstheme="majorBidi"/>
          <w:sz w:val="24"/>
          <w:szCs w:val="24"/>
        </w:rPr>
      </w:pPr>
      <w:r w:rsidRPr="007F1EFD">
        <w:rPr>
          <w:rFonts w:asciiTheme="majorBidi" w:eastAsia="Calibri" w:hAnsiTheme="majorBidi" w:cstheme="majorBidi"/>
          <w:sz w:val="24"/>
          <w:szCs w:val="24"/>
          <w:lang w:val="en"/>
        </w:rPr>
        <w:t xml:space="preserve">     T</w:t>
      </w:r>
      <w:r w:rsidRPr="007F1EFD">
        <w:rPr>
          <w:rFonts w:asciiTheme="majorBidi" w:eastAsia="Calibri" w:hAnsiTheme="majorBidi" w:cstheme="majorBidi"/>
          <w:sz w:val="24"/>
          <w:szCs w:val="24"/>
        </w:rPr>
        <w:t xml:space="preserve">he first step performed after the collection of serum samples was a </w:t>
      </w:r>
      <w:r w:rsidR="00FF4764" w:rsidRPr="00FF4764">
        <w:rPr>
          <w:rFonts w:asciiTheme="majorBidi" w:eastAsia="Calibri" w:hAnsiTheme="majorBidi" w:cstheme="majorBidi"/>
          <w:sz w:val="24"/>
          <w:szCs w:val="24"/>
          <w:lang w:val="en"/>
        </w:rPr>
        <w:t xml:space="preserve">confirmatory </w:t>
      </w:r>
      <w:r w:rsidRPr="007F1EFD">
        <w:rPr>
          <w:rFonts w:asciiTheme="majorBidi" w:eastAsia="Calibri" w:hAnsiTheme="majorBidi" w:cstheme="majorBidi"/>
          <w:sz w:val="24"/>
          <w:szCs w:val="24"/>
        </w:rPr>
        <w:t>investigation to the immunoglobulin status of the basic two types of anti-</w:t>
      </w:r>
      <w:r w:rsidRPr="007F1EFD">
        <w:rPr>
          <w:rFonts w:asciiTheme="majorBidi" w:eastAsia="Calibri" w:hAnsiTheme="majorBidi" w:cstheme="majorBidi"/>
          <w:i/>
          <w:iCs/>
          <w:sz w:val="24"/>
          <w:szCs w:val="24"/>
        </w:rPr>
        <w:t>Toxoplasma</w:t>
      </w:r>
      <w:r w:rsidRPr="007F1EFD">
        <w:rPr>
          <w:rFonts w:asciiTheme="majorBidi" w:eastAsia="Calibri" w:hAnsiTheme="majorBidi" w:cstheme="majorBidi"/>
          <w:sz w:val="24"/>
          <w:szCs w:val="24"/>
        </w:rPr>
        <w:t> antibodies, IgM and IgG, in the patients and control sera to make sure of the presence of the infection with toxoplasmosis and whether they have an acute or chronic infection to distribute the collected samples into two groups for the later work. The levels of the specific anti-</w:t>
      </w:r>
      <w:r w:rsidRPr="007F1EFD">
        <w:rPr>
          <w:rFonts w:asciiTheme="majorBidi" w:eastAsia="Calibri" w:hAnsiTheme="majorBidi" w:cstheme="majorBidi"/>
          <w:i/>
          <w:iCs/>
          <w:sz w:val="24"/>
          <w:szCs w:val="24"/>
        </w:rPr>
        <w:t>Toxoplasma</w:t>
      </w:r>
      <w:r w:rsidRPr="007F1EFD">
        <w:rPr>
          <w:rFonts w:asciiTheme="majorBidi" w:eastAsia="Calibri" w:hAnsiTheme="majorBidi" w:cstheme="majorBidi"/>
          <w:sz w:val="24"/>
          <w:szCs w:val="24"/>
        </w:rPr>
        <w:t> IgM and IgG antibodies were adopted for this purpose.   </w:t>
      </w:r>
    </w:p>
    <w:p w14:paraId="4A13AB04" w14:textId="12403AA7" w:rsidR="007F1EFD" w:rsidRDefault="00824ED6" w:rsidP="00FF4764">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7F1EFD" w:rsidRPr="007F1EFD">
        <w:rPr>
          <w:rFonts w:asciiTheme="majorBidi" w:eastAsia="Calibri" w:hAnsiTheme="majorBidi" w:cstheme="majorBidi"/>
          <w:sz w:val="24"/>
          <w:szCs w:val="24"/>
        </w:rPr>
        <w:t>It has been recorded that 30 patients were IgM</w:t>
      </w:r>
      <w:r w:rsidR="007F1EFD" w:rsidRPr="007F1EFD">
        <w:rPr>
          <w:rFonts w:asciiTheme="majorBidi" w:eastAsia="Calibri" w:hAnsiTheme="majorBidi" w:cstheme="majorBidi"/>
          <w:sz w:val="24"/>
          <w:szCs w:val="24"/>
          <w:vertAlign w:val="superscript"/>
        </w:rPr>
        <w:t>+ve</w:t>
      </w:r>
      <w:r w:rsidR="007F1EFD" w:rsidRPr="007F1EFD">
        <w:rPr>
          <w:rFonts w:asciiTheme="majorBidi" w:eastAsia="Calibri" w:hAnsiTheme="majorBidi" w:cstheme="majorBidi"/>
          <w:sz w:val="24"/>
          <w:szCs w:val="24"/>
        </w:rPr>
        <w:t>, and 29 patients of them (97%) were IgG</w:t>
      </w:r>
      <w:r w:rsidR="007F1EFD" w:rsidRPr="007F1EFD">
        <w:rPr>
          <w:rFonts w:asciiTheme="majorBidi" w:eastAsia="Calibri" w:hAnsiTheme="majorBidi" w:cstheme="majorBidi"/>
          <w:sz w:val="24"/>
          <w:szCs w:val="24"/>
          <w:vertAlign w:val="superscript"/>
        </w:rPr>
        <w:t>-ve</w:t>
      </w:r>
      <w:r w:rsidR="007F1EFD" w:rsidRPr="007F1EFD">
        <w:rPr>
          <w:rFonts w:asciiTheme="majorBidi" w:eastAsia="Calibri" w:hAnsiTheme="majorBidi" w:cstheme="majorBidi"/>
          <w:sz w:val="24"/>
          <w:szCs w:val="24"/>
        </w:rPr>
        <w:t xml:space="preserve"> with only one patient was IgG</w:t>
      </w:r>
      <w:r w:rsidR="007F1EFD" w:rsidRPr="007F1EFD">
        <w:rPr>
          <w:rFonts w:asciiTheme="majorBidi" w:eastAsia="Calibri" w:hAnsiTheme="majorBidi" w:cstheme="majorBidi"/>
          <w:sz w:val="24"/>
          <w:szCs w:val="24"/>
          <w:vertAlign w:val="superscript"/>
        </w:rPr>
        <w:t>+ve</w:t>
      </w:r>
      <w:r w:rsidR="007F1EFD" w:rsidRPr="007F1EFD">
        <w:rPr>
          <w:rFonts w:asciiTheme="majorBidi" w:eastAsia="Calibri" w:hAnsiTheme="majorBidi" w:cstheme="majorBidi"/>
          <w:sz w:val="24"/>
          <w:szCs w:val="24"/>
        </w:rPr>
        <w:t>. Whereas the rest 50 patients were IgG</w:t>
      </w:r>
      <w:r w:rsidR="007F1EFD" w:rsidRPr="007F1EFD">
        <w:rPr>
          <w:rFonts w:asciiTheme="majorBidi" w:eastAsia="Calibri" w:hAnsiTheme="majorBidi" w:cstheme="majorBidi"/>
          <w:sz w:val="24"/>
          <w:szCs w:val="24"/>
          <w:vertAlign w:val="superscript"/>
        </w:rPr>
        <w:t>+ve</w:t>
      </w:r>
      <w:r w:rsidR="007F1EFD" w:rsidRPr="007F1EFD">
        <w:rPr>
          <w:rFonts w:asciiTheme="majorBidi" w:eastAsia="Calibri" w:hAnsiTheme="majorBidi" w:cstheme="majorBidi"/>
          <w:sz w:val="24"/>
          <w:szCs w:val="24"/>
        </w:rPr>
        <w:t xml:space="preserve"> and IgM</w:t>
      </w:r>
      <w:r w:rsidR="007F1EFD" w:rsidRPr="007F1EFD">
        <w:rPr>
          <w:rFonts w:asciiTheme="majorBidi" w:eastAsia="Calibri" w:hAnsiTheme="majorBidi" w:cstheme="majorBidi"/>
          <w:sz w:val="24"/>
          <w:szCs w:val="24"/>
          <w:vertAlign w:val="superscript"/>
        </w:rPr>
        <w:t>-ve</w:t>
      </w:r>
      <w:r w:rsidR="007F1EFD" w:rsidRPr="007F1EFD">
        <w:rPr>
          <w:rFonts w:asciiTheme="majorBidi" w:eastAsia="Calibri" w:hAnsiTheme="majorBidi" w:cstheme="majorBidi"/>
          <w:sz w:val="24"/>
          <w:szCs w:val="24"/>
        </w:rPr>
        <w:t>, and all the control individuals 10 (100%) were IgM</w:t>
      </w:r>
      <w:r w:rsidR="007F1EFD" w:rsidRPr="007F1EFD">
        <w:rPr>
          <w:rFonts w:asciiTheme="majorBidi" w:eastAsia="Calibri" w:hAnsiTheme="majorBidi" w:cstheme="majorBidi"/>
          <w:sz w:val="24"/>
          <w:szCs w:val="24"/>
          <w:vertAlign w:val="superscript"/>
        </w:rPr>
        <w:t>-ve</w:t>
      </w:r>
      <w:r w:rsidR="007F1EFD" w:rsidRPr="007F1EFD">
        <w:rPr>
          <w:rFonts w:asciiTheme="majorBidi" w:eastAsia="Calibri" w:hAnsiTheme="majorBidi" w:cstheme="majorBidi"/>
          <w:sz w:val="24"/>
          <w:szCs w:val="24"/>
        </w:rPr>
        <w:t xml:space="preserve"> and IgG</w:t>
      </w:r>
      <w:r w:rsidR="007F1EFD" w:rsidRPr="007F1EFD">
        <w:rPr>
          <w:rFonts w:asciiTheme="majorBidi" w:eastAsia="Calibri" w:hAnsiTheme="majorBidi" w:cstheme="majorBidi"/>
          <w:sz w:val="24"/>
          <w:szCs w:val="24"/>
          <w:vertAlign w:val="superscript"/>
        </w:rPr>
        <w:t>-ve</w:t>
      </w:r>
      <w:r w:rsidR="003F2BD6" w:rsidRPr="007F1EFD">
        <w:rPr>
          <w:rFonts w:asciiTheme="majorBidi" w:eastAsia="Calibri" w:hAnsiTheme="majorBidi" w:cstheme="majorBidi"/>
          <w:sz w:val="24"/>
          <w:szCs w:val="24"/>
        </w:rPr>
        <w:t>.</w:t>
      </w:r>
      <w:r w:rsidR="003F2BD6">
        <w:rPr>
          <w:rFonts w:asciiTheme="majorBidi" w:eastAsia="Calibri" w:hAnsiTheme="majorBidi" w:cstheme="majorBidi"/>
          <w:sz w:val="24"/>
          <w:szCs w:val="24"/>
        </w:rPr>
        <w:t xml:space="preserve"> </w:t>
      </w:r>
      <w:r w:rsidR="007F1EFD" w:rsidRPr="007F1EFD">
        <w:rPr>
          <w:rFonts w:asciiTheme="majorBidi" w:eastAsia="Calibri" w:hAnsiTheme="majorBidi" w:cstheme="majorBidi"/>
          <w:sz w:val="24"/>
          <w:szCs w:val="24"/>
        </w:rPr>
        <w:t xml:space="preserve">Accordingly, the patients were divided into two groups, acute and chronic infection groups. The level of these two basic types of immunoglobulins prominently varied within the analyzed samples of the infected group, where the level of each immunoglobulin was </w:t>
      </w:r>
      <w:r w:rsidR="00007AAC" w:rsidRPr="006001CF">
        <w:rPr>
          <w:rFonts w:asciiTheme="majorBidi" w:eastAsia="Calibri" w:hAnsiTheme="majorBidi" w:cstheme="majorBidi"/>
          <w:sz w:val="24"/>
          <w:szCs w:val="24"/>
        </w:rPr>
        <w:t xml:space="preserve">very highly </w:t>
      </w:r>
      <w:r w:rsidR="007F1EFD" w:rsidRPr="006001CF">
        <w:rPr>
          <w:rFonts w:asciiTheme="majorBidi" w:eastAsia="Calibri" w:hAnsiTheme="majorBidi" w:cstheme="majorBidi"/>
          <w:sz w:val="24"/>
          <w:szCs w:val="24"/>
        </w:rPr>
        <w:t>significant different (</w:t>
      </w:r>
      <w:r w:rsidR="007F1EFD" w:rsidRPr="006001CF">
        <w:rPr>
          <w:rFonts w:asciiTheme="majorBidi" w:eastAsia="Calibri" w:hAnsiTheme="majorBidi" w:cstheme="majorBidi"/>
          <w:i/>
          <w:iCs/>
          <w:sz w:val="24"/>
          <w:szCs w:val="24"/>
        </w:rPr>
        <w:t>p</w:t>
      </w:r>
      <w:r w:rsidR="007F1EFD" w:rsidRPr="006001CF">
        <w:rPr>
          <w:rFonts w:asciiTheme="majorBidi" w:eastAsia="Calibri" w:hAnsiTheme="majorBidi" w:cstheme="majorBidi"/>
          <w:sz w:val="24"/>
          <w:szCs w:val="24"/>
        </w:rPr>
        <w:t> ≤ 0.0</w:t>
      </w:r>
      <w:r w:rsidR="00007AAC" w:rsidRPr="006001CF">
        <w:rPr>
          <w:rFonts w:asciiTheme="majorBidi" w:eastAsia="Calibri" w:hAnsiTheme="majorBidi" w:cstheme="majorBidi"/>
          <w:sz w:val="24"/>
          <w:szCs w:val="24"/>
        </w:rPr>
        <w:t>01</w:t>
      </w:r>
      <w:r w:rsidR="007F1EFD" w:rsidRPr="006001CF">
        <w:rPr>
          <w:rFonts w:asciiTheme="majorBidi" w:eastAsia="Calibri" w:hAnsiTheme="majorBidi" w:cstheme="majorBidi"/>
          <w:sz w:val="24"/>
          <w:szCs w:val="24"/>
        </w:rPr>
        <w:t>)</w:t>
      </w:r>
      <w:r w:rsidR="007F1EFD" w:rsidRPr="007F1EFD">
        <w:rPr>
          <w:rFonts w:asciiTheme="majorBidi" w:eastAsia="Calibri" w:hAnsiTheme="majorBidi" w:cstheme="majorBidi"/>
          <w:sz w:val="24"/>
          <w:szCs w:val="24"/>
        </w:rPr>
        <w:t xml:space="preserve"> between the two types of infection. </w:t>
      </w:r>
    </w:p>
    <w:p w14:paraId="121327BE" w14:textId="53214E00" w:rsidR="003C2993" w:rsidRDefault="003C2993" w:rsidP="003C2993">
      <w:pPr>
        <w:spacing w:after="0" w:line="276" w:lineRule="auto"/>
        <w:jc w:val="both"/>
        <w:rPr>
          <w:rFonts w:asciiTheme="majorBidi" w:eastAsia="Calibri" w:hAnsiTheme="majorBidi" w:cstheme="majorBidi"/>
          <w:sz w:val="24"/>
          <w:szCs w:val="24"/>
        </w:rPr>
      </w:pPr>
    </w:p>
    <w:p w14:paraId="39B1F1C7" w14:textId="40304BC2" w:rsidR="003C2993" w:rsidRPr="003C2993" w:rsidRDefault="00824ED6" w:rsidP="003C2993">
      <w:pPr>
        <w:spacing w:after="0" w:line="276" w:lineRule="auto"/>
        <w:jc w:val="both"/>
        <w:rPr>
          <w:rFonts w:asciiTheme="majorBidi" w:eastAsia="Calibri" w:hAnsiTheme="majorBidi" w:cstheme="majorBidi"/>
          <w:b/>
          <w:bCs/>
          <w:sz w:val="24"/>
          <w:szCs w:val="24"/>
          <w:lang w:val="en"/>
        </w:rPr>
      </w:pPr>
      <w:r>
        <w:rPr>
          <w:rFonts w:asciiTheme="majorBidi" w:eastAsia="Calibri" w:hAnsiTheme="majorBidi" w:cstheme="majorBidi"/>
          <w:b/>
          <w:bCs/>
          <w:sz w:val="24"/>
          <w:szCs w:val="24"/>
        </w:rPr>
        <w:t>-</w:t>
      </w:r>
      <w:r w:rsidR="003C2993" w:rsidRPr="003C2993">
        <w:rPr>
          <w:rFonts w:asciiTheme="majorBidi" w:eastAsia="Calibri" w:hAnsiTheme="majorBidi" w:cstheme="majorBidi"/>
          <w:b/>
          <w:bCs/>
          <w:sz w:val="24"/>
          <w:szCs w:val="24"/>
        </w:rPr>
        <w:t>The level of YKL-40</w:t>
      </w:r>
    </w:p>
    <w:p w14:paraId="0E4A707E" w14:textId="4E78AD2B" w:rsidR="009B521D" w:rsidRDefault="003C2993" w:rsidP="00697FCB">
      <w:pPr>
        <w:spacing w:after="0" w:line="276" w:lineRule="auto"/>
        <w:jc w:val="both"/>
        <w:rPr>
          <w:rFonts w:asciiTheme="majorBidi" w:eastAsia="Calibri" w:hAnsiTheme="majorBidi" w:cstheme="majorBidi"/>
          <w:sz w:val="24"/>
          <w:szCs w:val="24"/>
        </w:rPr>
      </w:pPr>
      <w:r w:rsidRPr="003C2993">
        <w:rPr>
          <w:rFonts w:asciiTheme="majorBidi" w:eastAsia="Calibri" w:hAnsiTheme="majorBidi" w:cstheme="majorBidi"/>
          <w:sz w:val="24"/>
          <w:szCs w:val="24"/>
          <w:lang w:val="en"/>
        </w:rPr>
        <w:t xml:space="preserve">     </w:t>
      </w:r>
      <w:bookmarkStart w:id="9" w:name="_Hlk98772591"/>
      <w:r w:rsidRPr="003C2993">
        <w:rPr>
          <w:rFonts w:asciiTheme="majorBidi" w:eastAsia="Calibri" w:hAnsiTheme="majorBidi" w:cstheme="majorBidi"/>
          <w:sz w:val="24"/>
          <w:szCs w:val="24"/>
        </w:rPr>
        <w:t>The results of the YKL-40 test showed that there is a very highly significant difference in the level of this marker among the acute, chronic and control groups (</w:t>
      </w:r>
      <w:r w:rsidRPr="003C2993">
        <w:rPr>
          <w:rFonts w:asciiTheme="majorBidi" w:eastAsia="Calibri" w:hAnsiTheme="majorBidi" w:cstheme="majorBidi"/>
          <w:i/>
          <w:iCs/>
          <w:sz w:val="24"/>
          <w:szCs w:val="24"/>
        </w:rPr>
        <w:t>p</w:t>
      </w:r>
      <w:r w:rsidRPr="003C2993">
        <w:rPr>
          <w:rFonts w:asciiTheme="majorBidi" w:eastAsia="Calibri" w:hAnsiTheme="majorBidi" w:cstheme="majorBidi"/>
          <w:sz w:val="24"/>
          <w:szCs w:val="24"/>
        </w:rPr>
        <w:t> ˂ 0.001). The median level of the YKL-40 in the group of the acute infection was 989.39</w:t>
      </w:r>
      <w:r w:rsidRPr="003C2993">
        <w:rPr>
          <w:rFonts w:asciiTheme="majorBidi" w:eastAsia="Calibri" w:hAnsiTheme="majorBidi" w:cstheme="majorBidi"/>
          <w:b/>
          <w:bCs/>
          <w:sz w:val="24"/>
          <w:szCs w:val="24"/>
        </w:rPr>
        <w:t> </w:t>
      </w:r>
      <w:r w:rsidRPr="003C2993">
        <w:rPr>
          <w:rFonts w:asciiTheme="majorBidi" w:eastAsia="Calibri" w:hAnsiTheme="majorBidi" w:cstheme="majorBidi"/>
          <w:sz w:val="24"/>
          <w:szCs w:val="24"/>
        </w:rPr>
        <w:t>pg/ mL. Whereas in the group of the chronic infection it was 744.30 pg/ mL, and in the control group it was 235.22 pg/ mL, </w:t>
      </w:r>
      <w:r w:rsidRPr="00C54499">
        <w:rPr>
          <w:rFonts w:asciiTheme="majorBidi" w:eastAsia="Calibri" w:hAnsiTheme="majorBidi" w:cstheme="majorBidi"/>
          <w:b/>
          <w:bCs/>
          <w:sz w:val="24"/>
          <w:szCs w:val="24"/>
        </w:rPr>
        <w:t>Table</w:t>
      </w:r>
      <w:r w:rsidRPr="00C54499">
        <w:rPr>
          <w:rFonts w:asciiTheme="majorBidi" w:eastAsia="Calibri" w:hAnsiTheme="majorBidi" w:cstheme="majorBidi"/>
          <w:sz w:val="24"/>
          <w:szCs w:val="24"/>
        </w:rPr>
        <w:t> </w:t>
      </w:r>
      <w:r w:rsidR="00F45D1F" w:rsidRPr="00C54499">
        <w:rPr>
          <w:rFonts w:asciiTheme="majorBidi" w:eastAsia="Calibri" w:hAnsiTheme="majorBidi" w:cstheme="majorBidi"/>
          <w:b/>
          <w:bCs/>
          <w:sz w:val="24"/>
          <w:szCs w:val="24"/>
        </w:rPr>
        <w:t>1</w:t>
      </w:r>
      <w:r w:rsidRPr="00C54499">
        <w:rPr>
          <w:rFonts w:asciiTheme="majorBidi" w:eastAsia="Calibri" w:hAnsiTheme="majorBidi" w:cstheme="majorBidi"/>
          <w:sz w:val="24"/>
          <w:szCs w:val="24"/>
        </w:rPr>
        <w:t>.</w:t>
      </w:r>
    </w:p>
    <w:p w14:paraId="712411C2" w14:textId="3A730960" w:rsidR="005A33F9" w:rsidRDefault="009B521D" w:rsidP="00C46EAC">
      <w:pPr>
        <w:spacing w:before="240" w:after="0" w:line="276" w:lineRule="auto"/>
        <w:jc w:val="both"/>
        <w:rPr>
          <w:rFonts w:asciiTheme="majorBidi" w:eastAsia="Calibri" w:hAnsiTheme="majorBidi" w:cstheme="majorBidi"/>
          <w:sz w:val="24"/>
          <w:szCs w:val="24"/>
        </w:rPr>
      </w:pPr>
      <w:r w:rsidRPr="003C2993">
        <w:rPr>
          <w:rFonts w:asciiTheme="majorBidi" w:eastAsia="Calibri" w:hAnsiTheme="majorBidi" w:cstheme="majorBidi"/>
          <w:sz w:val="24"/>
          <w:szCs w:val="24"/>
        </w:rPr>
        <w:lastRenderedPageBreak/>
        <w:t xml:space="preserve">     </w:t>
      </w:r>
      <w:r w:rsidRPr="00DA6EE4">
        <w:rPr>
          <w:rFonts w:asciiTheme="majorBidi" w:eastAsia="Calibri" w:hAnsiTheme="majorBidi" w:cstheme="majorBidi"/>
          <w:sz w:val="24"/>
          <w:szCs w:val="24"/>
          <w:lang w:val="el-GR"/>
        </w:rPr>
        <w:t xml:space="preserve">Pairwise comparisons were </w:t>
      </w:r>
      <w:r w:rsidRPr="00DA6EE4">
        <w:rPr>
          <w:rFonts w:asciiTheme="majorBidi" w:eastAsia="Calibri" w:hAnsiTheme="majorBidi" w:cstheme="majorBidi"/>
          <w:sz w:val="24"/>
          <w:szCs w:val="24"/>
        </w:rPr>
        <w:t>used to reach the significant difference between each pair of groups.</w:t>
      </w:r>
      <w:r w:rsidRPr="00DA6EE4">
        <w:rPr>
          <w:rFonts w:asciiTheme="majorBidi" w:eastAsia="Calibri" w:hAnsiTheme="majorBidi" w:cstheme="majorBidi"/>
          <w:sz w:val="24"/>
          <w:szCs w:val="24"/>
          <w:lang w:val="el-GR"/>
        </w:rPr>
        <w:t xml:space="preserve"> </w:t>
      </w:r>
      <w:bookmarkStart w:id="10" w:name="_Hlk98790372"/>
      <w:r w:rsidRPr="00DA6EE4">
        <w:rPr>
          <w:rFonts w:asciiTheme="majorBidi" w:eastAsia="Calibri" w:hAnsiTheme="majorBidi" w:cstheme="majorBidi"/>
          <w:sz w:val="24"/>
          <w:szCs w:val="24"/>
          <w:lang w:val="el-GR"/>
        </w:rPr>
        <w:t xml:space="preserve">The results of the multiple comparisons </w:t>
      </w:r>
      <w:r w:rsidRPr="00DA6EE4">
        <w:rPr>
          <w:rFonts w:asciiTheme="majorBidi" w:eastAsia="Calibri" w:hAnsiTheme="majorBidi" w:cstheme="majorBidi"/>
          <w:sz w:val="24"/>
          <w:szCs w:val="24"/>
        </w:rPr>
        <w:t xml:space="preserve">showed very highly </w:t>
      </w:r>
      <w:r w:rsidRPr="00DA6EE4">
        <w:rPr>
          <w:rFonts w:asciiTheme="majorBidi" w:eastAsia="Calibri" w:hAnsiTheme="majorBidi" w:cstheme="majorBidi"/>
          <w:sz w:val="24"/>
          <w:szCs w:val="24"/>
          <w:lang w:val="el-GR"/>
        </w:rPr>
        <w:t xml:space="preserve">significant differences </w:t>
      </w:r>
      <w:r w:rsidRPr="00DA6EE4">
        <w:rPr>
          <w:rFonts w:asciiTheme="majorBidi" w:eastAsia="Calibri" w:hAnsiTheme="majorBidi" w:cstheme="majorBidi"/>
          <w:sz w:val="24"/>
          <w:szCs w:val="24"/>
        </w:rPr>
        <w:t xml:space="preserve">in the level of YKL-40 </w:t>
      </w:r>
      <w:r w:rsidRPr="00DA6EE4">
        <w:rPr>
          <w:rFonts w:asciiTheme="majorBidi" w:eastAsia="Calibri" w:hAnsiTheme="majorBidi" w:cstheme="majorBidi"/>
          <w:sz w:val="24"/>
          <w:szCs w:val="24"/>
          <w:lang w:val="el-GR"/>
        </w:rPr>
        <w:t>based on</w:t>
      </w:r>
      <w:r w:rsidRPr="00DA6EE4">
        <w:rPr>
          <w:rFonts w:asciiTheme="majorBidi" w:eastAsia="Calibri" w:hAnsiTheme="majorBidi" w:cstheme="majorBidi"/>
          <w:sz w:val="24"/>
          <w:szCs w:val="24"/>
        </w:rPr>
        <w:t xml:space="preserve"> </w:t>
      </w:r>
      <w:r>
        <w:rPr>
          <w:rFonts w:asciiTheme="majorBidi" w:eastAsia="Calibri" w:hAnsiTheme="majorBidi" w:cstheme="majorBidi"/>
          <w:sz w:val="24"/>
          <w:szCs w:val="24"/>
        </w:rPr>
        <w:t>a</w:t>
      </w:r>
      <w:r w:rsidRPr="00DA6EE4">
        <w:rPr>
          <w:rFonts w:asciiTheme="majorBidi" w:eastAsia="Calibri" w:hAnsiTheme="majorBidi" w:cstheme="majorBidi"/>
          <w:sz w:val="24"/>
          <w:szCs w:val="24"/>
          <w:lang w:val="el-GR"/>
        </w:rPr>
        <w:t xml:space="preserve"> </w:t>
      </w:r>
      <w:r w:rsidRPr="00DA6EE4">
        <w:rPr>
          <w:rFonts w:asciiTheme="majorBidi" w:eastAsia="Calibri" w:hAnsiTheme="majorBidi" w:cstheme="majorBidi"/>
          <w:i/>
          <w:iCs/>
          <w:sz w:val="24"/>
          <w:szCs w:val="24"/>
          <w:lang w:val="el-GR"/>
        </w:rPr>
        <w:t>P</w:t>
      </w:r>
      <w:r w:rsidRPr="00DA6EE4">
        <w:rPr>
          <w:rFonts w:asciiTheme="majorBidi" w:eastAsia="Calibri" w:hAnsiTheme="majorBidi" w:cstheme="majorBidi"/>
          <w:sz w:val="24"/>
          <w:szCs w:val="24"/>
        </w:rPr>
        <w:t>-</w:t>
      </w:r>
      <w:r w:rsidRPr="00DA6EE4">
        <w:rPr>
          <w:rFonts w:asciiTheme="majorBidi" w:eastAsia="Calibri" w:hAnsiTheme="majorBidi" w:cstheme="majorBidi"/>
          <w:sz w:val="24"/>
          <w:szCs w:val="24"/>
          <w:lang w:val="el-GR"/>
        </w:rPr>
        <w:t xml:space="preserve">value </w:t>
      </w:r>
      <w:r>
        <w:rPr>
          <w:rFonts w:asciiTheme="majorBidi" w:eastAsia="Calibri" w:hAnsiTheme="majorBidi" w:cstheme="majorBidi"/>
          <w:sz w:val="24"/>
          <w:szCs w:val="24"/>
          <w:lang w:val="el-GR"/>
        </w:rPr>
        <w:t>˂</w:t>
      </w:r>
      <w:r>
        <w:rPr>
          <w:rFonts w:asciiTheme="majorBidi" w:eastAsia="Calibri" w:hAnsiTheme="majorBidi" w:cstheme="majorBidi"/>
          <w:sz w:val="24"/>
          <w:szCs w:val="24"/>
        </w:rPr>
        <w:t xml:space="preserve"> </w:t>
      </w:r>
      <w:r w:rsidRPr="00DA6EE4">
        <w:rPr>
          <w:rFonts w:asciiTheme="majorBidi" w:eastAsia="Calibri" w:hAnsiTheme="majorBidi" w:cstheme="majorBidi"/>
          <w:sz w:val="24"/>
          <w:szCs w:val="24"/>
          <w:lang w:val="el-GR"/>
        </w:rPr>
        <w:t>0.0</w:t>
      </w:r>
      <w:r w:rsidRPr="00DA6EE4">
        <w:rPr>
          <w:rFonts w:asciiTheme="majorBidi" w:eastAsia="Calibri" w:hAnsiTheme="majorBidi" w:cstheme="majorBidi"/>
          <w:sz w:val="24"/>
          <w:szCs w:val="24"/>
        </w:rPr>
        <w:t>01</w:t>
      </w:r>
      <w:r w:rsidRPr="00DA6EE4">
        <w:rPr>
          <w:rFonts w:asciiTheme="majorBidi" w:eastAsia="Calibri" w:hAnsiTheme="majorBidi" w:cstheme="majorBidi"/>
          <w:sz w:val="24"/>
          <w:szCs w:val="24"/>
          <w:lang w:val="el-GR"/>
        </w:rPr>
        <w:t xml:space="preserve"> between the pairs: Acute-Chronic, Acute-Control and Chronic-Control</w:t>
      </w:r>
      <w:bookmarkEnd w:id="10"/>
      <w:r w:rsidRPr="00DA6EE4">
        <w:rPr>
          <w:rFonts w:asciiTheme="majorBidi" w:eastAsia="Calibri" w:hAnsiTheme="majorBidi" w:cstheme="majorBidi"/>
          <w:sz w:val="24"/>
          <w:szCs w:val="24"/>
        </w:rPr>
        <w:t>. Based on the observed data, it has been observed that the level of YKL-40 in the acute infection group is very highly significantly different from its level in the group of the chronic infection and also in the control group, where its level is much higher in the group of the acute infection, as presented in</w:t>
      </w:r>
      <w:r w:rsidRPr="003C2993">
        <w:rPr>
          <w:rFonts w:asciiTheme="majorBidi" w:eastAsia="Calibri" w:hAnsiTheme="majorBidi" w:cstheme="majorBidi"/>
          <w:sz w:val="24"/>
          <w:szCs w:val="24"/>
        </w:rPr>
        <w:t> </w:t>
      </w:r>
      <w:r w:rsidRPr="003C2993">
        <w:rPr>
          <w:rFonts w:asciiTheme="majorBidi" w:eastAsia="Calibri" w:hAnsiTheme="majorBidi" w:cstheme="majorBidi"/>
          <w:b/>
          <w:bCs/>
          <w:sz w:val="24"/>
          <w:szCs w:val="24"/>
        </w:rPr>
        <w:t>Figure</w:t>
      </w:r>
      <w:r w:rsidRPr="003C2993">
        <w:rPr>
          <w:rFonts w:asciiTheme="majorBidi" w:eastAsia="Calibri" w:hAnsiTheme="majorBidi" w:cstheme="majorBidi"/>
          <w:sz w:val="24"/>
          <w:szCs w:val="24"/>
        </w:rPr>
        <w:t> </w:t>
      </w:r>
      <w:r w:rsidRPr="003C2993">
        <w:rPr>
          <w:rFonts w:asciiTheme="majorBidi" w:eastAsia="Calibri" w:hAnsiTheme="majorBidi" w:cstheme="majorBidi"/>
          <w:b/>
          <w:bCs/>
          <w:sz w:val="24"/>
          <w:szCs w:val="24"/>
        </w:rPr>
        <w:t>1</w:t>
      </w:r>
      <w:r w:rsidRPr="003C2993">
        <w:rPr>
          <w:rFonts w:asciiTheme="majorBidi" w:eastAsia="Calibri" w:hAnsiTheme="majorBidi" w:cstheme="majorBidi"/>
          <w:sz w:val="24"/>
          <w:szCs w:val="24"/>
        </w:rPr>
        <w:t>.</w:t>
      </w:r>
    </w:p>
    <w:p w14:paraId="4052340F" w14:textId="2CA3FB6B" w:rsidR="00C46EAC" w:rsidRDefault="00C46EAC" w:rsidP="00C46EAC">
      <w:pPr>
        <w:spacing w:before="240" w:after="0" w:line="276" w:lineRule="auto"/>
        <w:jc w:val="both"/>
        <w:rPr>
          <w:rFonts w:asciiTheme="majorBidi" w:eastAsia="Calibri" w:hAnsiTheme="majorBidi" w:cstheme="majorBidi"/>
          <w:sz w:val="24"/>
          <w:szCs w:val="24"/>
        </w:rPr>
      </w:pPr>
    </w:p>
    <w:p w14:paraId="29F0F4CA" w14:textId="77777777" w:rsidR="00C46EAC" w:rsidRDefault="00C46EAC" w:rsidP="00C46EAC">
      <w:pPr>
        <w:spacing w:before="240" w:after="0" w:line="276" w:lineRule="auto"/>
        <w:jc w:val="both"/>
        <w:rPr>
          <w:rFonts w:asciiTheme="majorBidi" w:eastAsia="Calibri" w:hAnsiTheme="majorBidi" w:cstheme="majorBidi"/>
          <w:sz w:val="24"/>
          <w:szCs w:val="24"/>
        </w:rPr>
      </w:pPr>
    </w:p>
    <w:p w14:paraId="5FB4831F" w14:textId="77777777" w:rsidR="005A33F9" w:rsidRDefault="005A33F9" w:rsidP="00FB695B">
      <w:pPr>
        <w:spacing w:after="0" w:line="276" w:lineRule="auto"/>
        <w:jc w:val="both"/>
        <w:rPr>
          <w:rFonts w:asciiTheme="majorBidi" w:eastAsia="Calibri" w:hAnsiTheme="majorBidi" w:cstheme="majorBidi"/>
          <w:sz w:val="24"/>
          <w:szCs w:val="24"/>
        </w:rPr>
      </w:pPr>
    </w:p>
    <w:p w14:paraId="7486106A" w14:textId="093C777D" w:rsidR="00B76363" w:rsidRPr="00B76363" w:rsidRDefault="00B76363" w:rsidP="00FC3387">
      <w:pPr>
        <w:spacing w:after="0" w:line="240" w:lineRule="auto"/>
        <w:ind w:left="1418" w:right="1360"/>
        <w:jc w:val="both"/>
        <w:rPr>
          <w:rFonts w:ascii="Times New Roman" w:eastAsia="Calibri" w:hAnsi="Times New Roman" w:cs="Times New Roman"/>
          <w:sz w:val="20"/>
          <w:szCs w:val="20"/>
          <w:lang w:val="en"/>
        </w:rPr>
      </w:pPr>
      <w:r w:rsidRPr="00B76363">
        <w:rPr>
          <w:rFonts w:ascii="Times New Roman" w:eastAsia="Calibri" w:hAnsi="Times New Roman" w:cs="Times New Roman"/>
          <w:b/>
          <w:bCs/>
          <w:sz w:val="20"/>
          <w:szCs w:val="20"/>
          <w:lang w:val="en"/>
        </w:rPr>
        <w:t>Table</w:t>
      </w:r>
      <w:r w:rsidR="00B22F61">
        <w:rPr>
          <w:rFonts w:ascii="Times New Roman" w:eastAsia="Calibri" w:hAnsi="Times New Roman" w:cs="Times New Roman"/>
          <w:b/>
          <w:bCs/>
          <w:sz w:val="20"/>
          <w:szCs w:val="20"/>
          <w:lang w:val="en"/>
        </w:rPr>
        <w:t xml:space="preserve"> </w:t>
      </w:r>
      <w:r w:rsidR="00F45D1F">
        <w:rPr>
          <w:rFonts w:ascii="Times New Roman" w:eastAsia="Calibri" w:hAnsi="Times New Roman" w:cs="Times New Roman"/>
          <w:b/>
          <w:bCs/>
          <w:sz w:val="20"/>
          <w:szCs w:val="20"/>
          <w:lang w:val="en"/>
        </w:rPr>
        <w:t>1</w:t>
      </w:r>
      <w:r w:rsidRPr="00B76363">
        <w:rPr>
          <w:rFonts w:ascii="Times New Roman" w:eastAsia="Calibri" w:hAnsi="Times New Roman" w:cs="Times New Roman"/>
          <w:sz w:val="20"/>
          <w:szCs w:val="20"/>
          <w:lang w:val="en"/>
        </w:rPr>
        <w:t xml:space="preserve">: The level of YKL-40 in </w:t>
      </w:r>
      <w:r w:rsidRPr="00B76363">
        <w:rPr>
          <w:rFonts w:ascii="Times New Roman" w:eastAsia="Calibri" w:hAnsi="Times New Roman" w:cs="Times New Roman"/>
          <w:sz w:val="20"/>
          <w:szCs w:val="20"/>
        </w:rPr>
        <w:t>the acute, chronic and control groups according to</w:t>
      </w:r>
      <w:r w:rsidRPr="00B76363">
        <w:rPr>
          <w:rFonts w:ascii="Times New Roman" w:eastAsia="Calibri" w:hAnsi="Times New Roman" w:cs="Times New Roman"/>
          <w:sz w:val="20"/>
          <w:szCs w:val="20"/>
          <w:lang w:val="en"/>
        </w:rPr>
        <w:t xml:space="preserve"> Kruskal-Wallis test. </w:t>
      </w:r>
    </w:p>
    <w:tbl>
      <w:tblPr>
        <w:tblW w:w="5514"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000" w:firstRow="0" w:lastRow="0" w:firstColumn="0" w:lastColumn="0" w:noHBand="0" w:noVBand="0"/>
      </w:tblPr>
      <w:tblGrid>
        <w:gridCol w:w="1034"/>
        <w:gridCol w:w="936"/>
        <w:gridCol w:w="992"/>
        <w:gridCol w:w="1701"/>
        <w:gridCol w:w="851"/>
      </w:tblGrid>
      <w:tr w:rsidR="008F0176" w:rsidRPr="00B76363" w14:paraId="52EFD649" w14:textId="77777777" w:rsidTr="008F0176">
        <w:trPr>
          <w:trHeight w:val="784"/>
          <w:jc w:val="center"/>
        </w:trPr>
        <w:tc>
          <w:tcPr>
            <w:tcW w:w="1034" w:type="dxa"/>
            <w:shd w:val="clear" w:color="auto" w:fill="8DB3E2"/>
          </w:tcPr>
          <w:p w14:paraId="563098E5" w14:textId="77777777" w:rsidR="008F0176" w:rsidRPr="00B76363" w:rsidRDefault="008F0176" w:rsidP="00B76363">
            <w:pPr>
              <w:spacing w:before="240" w:after="0" w:line="360" w:lineRule="auto"/>
              <w:jc w:val="center"/>
              <w:rPr>
                <w:rFonts w:ascii="Times New Roman" w:eastAsia="Calibri" w:hAnsi="Times New Roman" w:cs="Times New Roman"/>
                <w:sz w:val="20"/>
                <w:szCs w:val="20"/>
                <w:lang w:val="en"/>
              </w:rPr>
            </w:pPr>
            <w:r w:rsidRPr="00B76363">
              <w:rPr>
                <w:rFonts w:ascii="Times New Roman" w:eastAsia="Calibri" w:hAnsi="Times New Roman" w:cs="Times New Roman"/>
                <w:b/>
                <w:bCs/>
                <w:sz w:val="20"/>
                <w:szCs w:val="20"/>
                <w:lang w:val="en"/>
              </w:rPr>
              <w:t>Variable</w:t>
            </w:r>
          </w:p>
        </w:tc>
        <w:tc>
          <w:tcPr>
            <w:tcW w:w="936" w:type="dxa"/>
            <w:shd w:val="clear" w:color="auto" w:fill="8DB3E2"/>
          </w:tcPr>
          <w:p w14:paraId="21667E75" w14:textId="77777777" w:rsidR="008F0176" w:rsidRPr="00B76363" w:rsidRDefault="008F0176" w:rsidP="00B76363">
            <w:pPr>
              <w:spacing w:before="240" w:after="0" w:line="360" w:lineRule="auto"/>
              <w:jc w:val="center"/>
              <w:rPr>
                <w:rFonts w:ascii="Times New Roman" w:eastAsia="Calibri" w:hAnsi="Times New Roman" w:cs="Times New Roman"/>
                <w:b/>
                <w:bCs/>
                <w:sz w:val="20"/>
                <w:szCs w:val="20"/>
                <w:lang w:val="en"/>
              </w:rPr>
            </w:pPr>
            <w:r w:rsidRPr="00B76363">
              <w:rPr>
                <w:rFonts w:ascii="Times New Roman" w:eastAsia="Calibri" w:hAnsi="Times New Roman" w:cs="Times New Roman"/>
                <w:b/>
                <w:bCs/>
                <w:sz w:val="20"/>
                <w:szCs w:val="20"/>
                <w:lang w:val="en"/>
              </w:rPr>
              <w:t>Groups</w:t>
            </w:r>
          </w:p>
        </w:tc>
        <w:tc>
          <w:tcPr>
            <w:tcW w:w="992" w:type="dxa"/>
            <w:shd w:val="clear" w:color="auto" w:fill="8DB3E2"/>
          </w:tcPr>
          <w:p w14:paraId="35BA2927" w14:textId="77777777" w:rsidR="008F0176" w:rsidRPr="00B76363" w:rsidRDefault="008F0176" w:rsidP="00B22F61">
            <w:pPr>
              <w:spacing w:before="240" w:after="0" w:line="240" w:lineRule="auto"/>
              <w:jc w:val="center"/>
              <w:rPr>
                <w:rFonts w:ascii="Times New Roman" w:eastAsia="Calibri" w:hAnsi="Times New Roman" w:cs="Times New Roman"/>
                <w:sz w:val="20"/>
                <w:szCs w:val="20"/>
                <w:lang w:val="en"/>
              </w:rPr>
            </w:pPr>
            <w:r w:rsidRPr="00B76363">
              <w:rPr>
                <w:rFonts w:ascii="Times New Roman" w:eastAsia="Calibri" w:hAnsi="Times New Roman" w:cs="Times New Roman"/>
                <w:b/>
                <w:bCs/>
                <w:sz w:val="20"/>
                <w:szCs w:val="20"/>
                <w:lang w:val="en"/>
              </w:rPr>
              <w:t xml:space="preserve">Median pg/ mL </w:t>
            </w:r>
          </w:p>
        </w:tc>
        <w:tc>
          <w:tcPr>
            <w:tcW w:w="1701" w:type="dxa"/>
            <w:shd w:val="clear" w:color="auto" w:fill="8DB3E2"/>
          </w:tcPr>
          <w:p w14:paraId="41C9950F" w14:textId="77777777" w:rsidR="008F0176" w:rsidRPr="00B76363" w:rsidRDefault="008F0176" w:rsidP="00B76363">
            <w:pPr>
              <w:spacing w:before="240" w:after="0" w:line="360" w:lineRule="auto"/>
              <w:jc w:val="center"/>
              <w:rPr>
                <w:rFonts w:ascii="Times New Roman" w:eastAsia="Calibri" w:hAnsi="Times New Roman" w:cs="Times New Roman"/>
                <w:sz w:val="20"/>
                <w:szCs w:val="20"/>
                <w:lang w:val="en"/>
              </w:rPr>
            </w:pPr>
            <w:r w:rsidRPr="00B76363">
              <w:rPr>
                <w:rFonts w:ascii="Times New Roman" w:eastAsia="Calibri" w:hAnsi="Times New Roman" w:cs="Times New Roman"/>
                <w:b/>
                <w:bCs/>
                <w:sz w:val="20"/>
                <w:szCs w:val="20"/>
                <w:lang w:val="en"/>
              </w:rPr>
              <w:t>1</w:t>
            </w:r>
            <w:r w:rsidRPr="00B76363">
              <w:rPr>
                <w:rFonts w:ascii="Times New Roman" w:eastAsia="Calibri" w:hAnsi="Times New Roman" w:cs="Times New Roman"/>
                <w:b/>
                <w:bCs/>
                <w:sz w:val="20"/>
                <w:szCs w:val="20"/>
                <w:vertAlign w:val="superscript"/>
                <w:lang w:val="en"/>
              </w:rPr>
              <w:t>st</w:t>
            </w:r>
            <w:r w:rsidRPr="00B76363">
              <w:rPr>
                <w:rFonts w:ascii="Times New Roman" w:eastAsia="Calibri" w:hAnsi="Times New Roman" w:cs="Times New Roman"/>
                <w:b/>
                <w:bCs/>
                <w:sz w:val="20"/>
                <w:szCs w:val="20"/>
                <w:lang w:val="en"/>
              </w:rPr>
              <w:t xml:space="preserve"> IQR-3</w:t>
            </w:r>
            <w:r w:rsidRPr="00B76363">
              <w:rPr>
                <w:rFonts w:ascii="Times New Roman" w:eastAsia="Calibri" w:hAnsi="Times New Roman" w:cs="Times New Roman"/>
                <w:b/>
                <w:bCs/>
                <w:sz w:val="20"/>
                <w:szCs w:val="20"/>
                <w:vertAlign w:val="superscript"/>
                <w:lang w:val="en"/>
              </w:rPr>
              <w:t>rd</w:t>
            </w:r>
            <w:r w:rsidRPr="00B76363">
              <w:rPr>
                <w:rFonts w:ascii="Times New Roman" w:eastAsia="Calibri" w:hAnsi="Times New Roman" w:cs="Times New Roman"/>
                <w:b/>
                <w:bCs/>
                <w:sz w:val="20"/>
                <w:szCs w:val="20"/>
                <w:lang w:val="en"/>
              </w:rPr>
              <w:t xml:space="preserve"> IQR </w:t>
            </w:r>
          </w:p>
        </w:tc>
        <w:tc>
          <w:tcPr>
            <w:tcW w:w="851" w:type="dxa"/>
            <w:shd w:val="clear" w:color="auto" w:fill="8DB3E2"/>
          </w:tcPr>
          <w:p w14:paraId="6D683CC2" w14:textId="77777777" w:rsidR="008F0176" w:rsidRPr="00B76363" w:rsidRDefault="008F0176" w:rsidP="00B76363">
            <w:pPr>
              <w:spacing w:before="240" w:after="0" w:line="360" w:lineRule="auto"/>
              <w:jc w:val="center"/>
              <w:rPr>
                <w:rFonts w:ascii="Times New Roman" w:eastAsia="Calibri" w:hAnsi="Times New Roman" w:cs="Times New Roman"/>
                <w:i/>
                <w:iCs/>
                <w:sz w:val="20"/>
                <w:szCs w:val="20"/>
                <w:lang w:val="en"/>
              </w:rPr>
            </w:pPr>
            <w:r w:rsidRPr="00B76363">
              <w:rPr>
                <w:rFonts w:ascii="Times New Roman" w:eastAsia="Calibri" w:hAnsi="Times New Roman" w:cs="Times New Roman"/>
                <w:b/>
                <w:bCs/>
                <w:i/>
                <w:iCs/>
                <w:sz w:val="20"/>
                <w:szCs w:val="20"/>
                <w:lang w:val="en"/>
              </w:rPr>
              <w:t>P-value</w:t>
            </w:r>
          </w:p>
        </w:tc>
      </w:tr>
      <w:tr w:rsidR="008F0176" w:rsidRPr="00B76363" w14:paraId="56F4E022" w14:textId="77777777" w:rsidTr="008F0176">
        <w:trPr>
          <w:trHeight w:val="1"/>
          <w:jc w:val="center"/>
        </w:trPr>
        <w:tc>
          <w:tcPr>
            <w:tcW w:w="1034" w:type="dxa"/>
            <w:vMerge w:val="restart"/>
            <w:shd w:val="clear" w:color="auto" w:fill="8DB3E2"/>
          </w:tcPr>
          <w:p w14:paraId="55FC9971" w14:textId="77777777" w:rsidR="008F0176" w:rsidRPr="00B76363" w:rsidRDefault="008F0176" w:rsidP="00B76363">
            <w:pPr>
              <w:spacing w:after="0" w:line="240" w:lineRule="auto"/>
              <w:jc w:val="center"/>
              <w:rPr>
                <w:rFonts w:ascii="Times New Roman" w:eastAsia="Calibri" w:hAnsi="Times New Roman" w:cs="Times New Roman"/>
                <w:b/>
                <w:bCs/>
                <w:sz w:val="20"/>
                <w:szCs w:val="20"/>
                <w:lang w:val="en"/>
              </w:rPr>
            </w:pPr>
          </w:p>
          <w:p w14:paraId="5697659B" w14:textId="77777777" w:rsidR="008F0176" w:rsidRPr="00B76363" w:rsidRDefault="008F0176" w:rsidP="00B76363">
            <w:pPr>
              <w:spacing w:after="0" w:line="240" w:lineRule="auto"/>
              <w:jc w:val="center"/>
              <w:rPr>
                <w:rFonts w:ascii="Times New Roman" w:eastAsia="Calibri" w:hAnsi="Times New Roman" w:cs="Times New Roman"/>
                <w:b/>
                <w:bCs/>
                <w:sz w:val="20"/>
                <w:szCs w:val="20"/>
                <w:lang w:val="en"/>
              </w:rPr>
            </w:pPr>
            <w:r w:rsidRPr="00B76363">
              <w:rPr>
                <w:rFonts w:ascii="Times New Roman" w:eastAsia="Calibri" w:hAnsi="Times New Roman" w:cs="Times New Roman"/>
                <w:b/>
                <w:bCs/>
                <w:sz w:val="20"/>
                <w:szCs w:val="20"/>
                <w:lang w:val="en"/>
              </w:rPr>
              <w:t>YKL-40 pg/ mL</w:t>
            </w:r>
          </w:p>
        </w:tc>
        <w:tc>
          <w:tcPr>
            <w:tcW w:w="936" w:type="dxa"/>
            <w:shd w:val="clear" w:color="auto" w:fill="C6D9F1"/>
          </w:tcPr>
          <w:p w14:paraId="0921D82F" w14:textId="77777777" w:rsidR="008F0176" w:rsidRPr="00B76363" w:rsidRDefault="008F0176" w:rsidP="00B76363">
            <w:pPr>
              <w:spacing w:after="0" w:line="276" w:lineRule="auto"/>
              <w:jc w:val="center"/>
              <w:rPr>
                <w:rFonts w:ascii="Times New Roman" w:eastAsia="Calibri" w:hAnsi="Times New Roman" w:cs="Times New Roman"/>
                <w:sz w:val="20"/>
                <w:szCs w:val="20"/>
                <w:lang w:val="en"/>
              </w:rPr>
            </w:pPr>
            <w:r w:rsidRPr="00B76363">
              <w:rPr>
                <w:rFonts w:ascii="Times New Roman" w:eastAsia="Calibri" w:hAnsi="Times New Roman" w:cs="Times New Roman"/>
                <w:sz w:val="20"/>
                <w:szCs w:val="20"/>
                <w:lang w:val="en"/>
              </w:rPr>
              <w:t>Acute</w:t>
            </w:r>
          </w:p>
        </w:tc>
        <w:tc>
          <w:tcPr>
            <w:tcW w:w="992" w:type="dxa"/>
            <w:shd w:val="clear" w:color="auto" w:fill="C6D9F1"/>
          </w:tcPr>
          <w:p w14:paraId="71E558EB" w14:textId="77777777" w:rsidR="008F0176" w:rsidRPr="00B76363" w:rsidRDefault="008F0176" w:rsidP="00B76363">
            <w:pPr>
              <w:spacing w:after="0" w:line="276" w:lineRule="auto"/>
              <w:jc w:val="center"/>
              <w:rPr>
                <w:rFonts w:ascii="Times New Roman" w:eastAsia="Calibri" w:hAnsi="Times New Roman" w:cs="Times New Roman"/>
                <w:sz w:val="20"/>
                <w:szCs w:val="20"/>
                <w:lang w:val="en"/>
              </w:rPr>
            </w:pPr>
            <w:r w:rsidRPr="00B76363">
              <w:rPr>
                <w:rFonts w:ascii="Times New Roman" w:eastAsia="Calibri" w:hAnsi="Times New Roman" w:cs="Times New Roman"/>
                <w:sz w:val="20"/>
                <w:szCs w:val="20"/>
                <w:lang w:val="en"/>
              </w:rPr>
              <w:t>989.39</w:t>
            </w:r>
          </w:p>
        </w:tc>
        <w:tc>
          <w:tcPr>
            <w:tcW w:w="1701" w:type="dxa"/>
            <w:shd w:val="clear" w:color="auto" w:fill="C6D9F1"/>
          </w:tcPr>
          <w:p w14:paraId="06911C52" w14:textId="77777777" w:rsidR="008F0176" w:rsidRPr="00B76363" w:rsidRDefault="008F0176" w:rsidP="00B76363">
            <w:pPr>
              <w:spacing w:after="0" w:line="276" w:lineRule="auto"/>
              <w:jc w:val="center"/>
              <w:rPr>
                <w:rFonts w:ascii="Times New Roman" w:eastAsia="Calibri" w:hAnsi="Times New Roman" w:cs="Times New Roman"/>
                <w:sz w:val="20"/>
                <w:szCs w:val="20"/>
                <w:lang w:val="en"/>
              </w:rPr>
            </w:pPr>
            <w:r w:rsidRPr="00B76363">
              <w:rPr>
                <w:rFonts w:ascii="Times New Roman" w:eastAsia="Calibri" w:hAnsi="Times New Roman" w:cs="Times New Roman"/>
                <w:sz w:val="20"/>
                <w:szCs w:val="20"/>
                <w:lang w:val="en"/>
              </w:rPr>
              <w:t>816.67- 1909.58</w:t>
            </w:r>
          </w:p>
        </w:tc>
        <w:tc>
          <w:tcPr>
            <w:tcW w:w="851" w:type="dxa"/>
            <w:vMerge w:val="restart"/>
            <w:shd w:val="clear" w:color="auto" w:fill="C6D9F1"/>
          </w:tcPr>
          <w:p w14:paraId="07F82D77" w14:textId="77777777" w:rsidR="008F0176" w:rsidRPr="00B76363" w:rsidRDefault="008F0176" w:rsidP="00B22F61">
            <w:pPr>
              <w:spacing w:before="240" w:after="0" w:line="240" w:lineRule="auto"/>
              <w:jc w:val="center"/>
              <w:rPr>
                <w:rFonts w:ascii="Times New Roman" w:eastAsia="Calibri" w:hAnsi="Times New Roman" w:cs="Times New Roman"/>
                <w:sz w:val="20"/>
                <w:szCs w:val="20"/>
                <w:lang w:val="en"/>
              </w:rPr>
            </w:pPr>
            <w:r w:rsidRPr="00B76363">
              <w:rPr>
                <w:rFonts w:ascii="Times New Roman" w:eastAsia="Calibri" w:hAnsi="Times New Roman" w:cs="Times New Roman"/>
                <w:sz w:val="20"/>
                <w:szCs w:val="20"/>
                <w:lang w:val="en"/>
              </w:rPr>
              <w:t>&lt; 0.001</w:t>
            </w:r>
          </w:p>
        </w:tc>
      </w:tr>
      <w:tr w:rsidR="008F0176" w:rsidRPr="00B76363" w14:paraId="1FCB9581" w14:textId="77777777" w:rsidTr="008F0176">
        <w:trPr>
          <w:trHeight w:val="1"/>
          <w:jc w:val="center"/>
        </w:trPr>
        <w:tc>
          <w:tcPr>
            <w:tcW w:w="1034" w:type="dxa"/>
            <w:vMerge/>
            <w:shd w:val="clear" w:color="auto" w:fill="8DB3E2"/>
          </w:tcPr>
          <w:p w14:paraId="0B475125" w14:textId="77777777" w:rsidR="008F0176" w:rsidRPr="00B76363" w:rsidRDefault="008F0176" w:rsidP="00B76363">
            <w:pPr>
              <w:spacing w:after="0" w:line="240" w:lineRule="auto"/>
              <w:jc w:val="center"/>
              <w:rPr>
                <w:rFonts w:ascii="Times New Roman" w:eastAsia="Calibri" w:hAnsi="Times New Roman" w:cs="Times New Roman"/>
                <w:sz w:val="20"/>
                <w:szCs w:val="20"/>
                <w:lang w:val="en"/>
              </w:rPr>
            </w:pPr>
          </w:p>
        </w:tc>
        <w:tc>
          <w:tcPr>
            <w:tcW w:w="936" w:type="dxa"/>
            <w:shd w:val="clear" w:color="auto" w:fill="C6D9F1"/>
          </w:tcPr>
          <w:p w14:paraId="4A00B548" w14:textId="77777777" w:rsidR="008F0176" w:rsidRPr="00B76363" w:rsidRDefault="008F0176" w:rsidP="00B76363">
            <w:pPr>
              <w:spacing w:after="0" w:line="276" w:lineRule="auto"/>
              <w:jc w:val="center"/>
              <w:rPr>
                <w:rFonts w:ascii="Times New Roman" w:eastAsia="Calibri" w:hAnsi="Times New Roman" w:cs="Times New Roman"/>
                <w:sz w:val="20"/>
                <w:szCs w:val="20"/>
                <w:lang w:val="en"/>
              </w:rPr>
            </w:pPr>
            <w:r w:rsidRPr="00B76363">
              <w:rPr>
                <w:rFonts w:ascii="Times New Roman" w:eastAsia="Calibri" w:hAnsi="Times New Roman" w:cs="Times New Roman"/>
                <w:sz w:val="20"/>
                <w:szCs w:val="20"/>
                <w:lang w:val="en"/>
              </w:rPr>
              <w:t>Chronic</w:t>
            </w:r>
          </w:p>
        </w:tc>
        <w:tc>
          <w:tcPr>
            <w:tcW w:w="992" w:type="dxa"/>
            <w:shd w:val="clear" w:color="auto" w:fill="C6D9F1"/>
          </w:tcPr>
          <w:p w14:paraId="2174588A" w14:textId="77777777" w:rsidR="008F0176" w:rsidRPr="00B76363" w:rsidRDefault="008F0176" w:rsidP="00B76363">
            <w:pPr>
              <w:spacing w:after="0" w:line="276" w:lineRule="auto"/>
              <w:jc w:val="center"/>
              <w:rPr>
                <w:rFonts w:ascii="Times New Roman" w:eastAsia="Calibri" w:hAnsi="Times New Roman" w:cs="Times New Roman"/>
                <w:sz w:val="20"/>
                <w:szCs w:val="20"/>
                <w:lang w:val="en"/>
              </w:rPr>
            </w:pPr>
            <w:r w:rsidRPr="00B76363">
              <w:rPr>
                <w:rFonts w:ascii="Times New Roman" w:eastAsia="Calibri" w:hAnsi="Times New Roman" w:cs="Times New Roman"/>
                <w:sz w:val="20"/>
                <w:szCs w:val="20"/>
                <w:lang w:val="en"/>
              </w:rPr>
              <w:t>744.30</w:t>
            </w:r>
          </w:p>
        </w:tc>
        <w:tc>
          <w:tcPr>
            <w:tcW w:w="1701" w:type="dxa"/>
            <w:shd w:val="clear" w:color="auto" w:fill="C6D9F1"/>
          </w:tcPr>
          <w:p w14:paraId="07755FAE" w14:textId="77777777" w:rsidR="008F0176" w:rsidRPr="00B76363" w:rsidRDefault="008F0176" w:rsidP="00B76363">
            <w:pPr>
              <w:spacing w:after="0" w:line="276" w:lineRule="auto"/>
              <w:jc w:val="center"/>
              <w:rPr>
                <w:rFonts w:ascii="Times New Roman" w:eastAsia="Calibri" w:hAnsi="Times New Roman" w:cs="Times New Roman"/>
                <w:sz w:val="20"/>
                <w:szCs w:val="20"/>
                <w:lang w:val="en"/>
              </w:rPr>
            </w:pPr>
            <w:r w:rsidRPr="00B76363">
              <w:rPr>
                <w:rFonts w:ascii="Times New Roman" w:eastAsia="Calibri" w:hAnsi="Times New Roman" w:cs="Times New Roman"/>
                <w:sz w:val="20"/>
                <w:szCs w:val="20"/>
                <w:lang w:val="en"/>
              </w:rPr>
              <w:t>581.48- 844.99</w:t>
            </w:r>
          </w:p>
        </w:tc>
        <w:tc>
          <w:tcPr>
            <w:tcW w:w="851" w:type="dxa"/>
            <w:vMerge/>
            <w:shd w:val="clear" w:color="auto" w:fill="C6D9F1"/>
          </w:tcPr>
          <w:p w14:paraId="3CE45CDE" w14:textId="77777777" w:rsidR="008F0176" w:rsidRPr="00B76363" w:rsidRDefault="008F0176" w:rsidP="00B76363">
            <w:pPr>
              <w:spacing w:after="0" w:line="240" w:lineRule="auto"/>
              <w:jc w:val="center"/>
              <w:rPr>
                <w:rFonts w:ascii="Times New Roman" w:eastAsia="Calibri" w:hAnsi="Times New Roman" w:cs="Times New Roman"/>
                <w:sz w:val="20"/>
                <w:szCs w:val="20"/>
                <w:lang w:val="en"/>
              </w:rPr>
            </w:pPr>
          </w:p>
        </w:tc>
      </w:tr>
      <w:tr w:rsidR="008F0176" w:rsidRPr="00B76363" w14:paraId="6FB34951" w14:textId="77777777" w:rsidTr="008F0176">
        <w:trPr>
          <w:trHeight w:val="1"/>
          <w:jc w:val="center"/>
        </w:trPr>
        <w:tc>
          <w:tcPr>
            <w:tcW w:w="1034" w:type="dxa"/>
            <w:vMerge/>
            <w:shd w:val="clear" w:color="auto" w:fill="8DB3E2"/>
          </w:tcPr>
          <w:p w14:paraId="60333C12" w14:textId="77777777" w:rsidR="008F0176" w:rsidRPr="00B76363" w:rsidRDefault="008F0176" w:rsidP="00B76363">
            <w:pPr>
              <w:spacing w:after="0" w:line="240" w:lineRule="auto"/>
              <w:jc w:val="center"/>
              <w:rPr>
                <w:rFonts w:ascii="Times New Roman" w:eastAsia="Calibri" w:hAnsi="Times New Roman" w:cs="Times New Roman"/>
                <w:sz w:val="20"/>
                <w:szCs w:val="20"/>
                <w:lang w:val="en"/>
              </w:rPr>
            </w:pPr>
          </w:p>
        </w:tc>
        <w:tc>
          <w:tcPr>
            <w:tcW w:w="936" w:type="dxa"/>
            <w:shd w:val="clear" w:color="auto" w:fill="C6D9F1"/>
          </w:tcPr>
          <w:p w14:paraId="28945FF3" w14:textId="77777777" w:rsidR="008F0176" w:rsidRPr="00B76363" w:rsidRDefault="008F0176" w:rsidP="00B76363">
            <w:pPr>
              <w:spacing w:after="0" w:line="276" w:lineRule="auto"/>
              <w:jc w:val="center"/>
              <w:rPr>
                <w:rFonts w:ascii="Times New Roman" w:eastAsia="Calibri" w:hAnsi="Times New Roman" w:cs="Times New Roman"/>
                <w:sz w:val="20"/>
                <w:szCs w:val="20"/>
                <w:lang w:val="en"/>
              </w:rPr>
            </w:pPr>
            <w:r w:rsidRPr="00B76363">
              <w:rPr>
                <w:rFonts w:ascii="Times New Roman" w:eastAsia="Calibri" w:hAnsi="Times New Roman" w:cs="Times New Roman"/>
                <w:sz w:val="20"/>
                <w:szCs w:val="20"/>
                <w:lang w:val="en"/>
              </w:rPr>
              <w:t>Control</w:t>
            </w:r>
          </w:p>
        </w:tc>
        <w:tc>
          <w:tcPr>
            <w:tcW w:w="992" w:type="dxa"/>
            <w:shd w:val="clear" w:color="auto" w:fill="C6D9F1"/>
          </w:tcPr>
          <w:p w14:paraId="372D61FA" w14:textId="77777777" w:rsidR="008F0176" w:rsidRPr="00B76363" w:rsidRDefault="008F0176" w:rsidP="00B76363">
            <w:pPr>
              <w:spacing w:after="0" w:line="276" w:lineRule="auto"/>
              <w:jc w:val="center"/>
              <w:rPr>
                <w:rFonts w:ascii="Times New Roman" w:eastAsia="Calibri" w:hAnsi="Times New Roman" w:cs="Times New Roman"/>
                <w:sz w:val="20"/>
                <w:szCs w:val="20"/>
                <w:lang w:val="en"/>
              </w:rPr>
            </w:pPr>
            <w:r w:rsidRPr="00B76363">
              <w:rPr>
                <w:rFonts w:ascii="Times New Roman" w:eastAsia="Calibri" w:hAnsi="Times New Roman" w:cs="Times New Roman"/>
                <w:sz w:val="20"/>
                <w:szCs w:val="20"/>
                <w:lang w:val="en"/>
              </w:rPr>
              <w:t>235.22</w:t>
            </w:r>
          </w:p>
        </w:tc>
        <w:tc>
          <w:tcPr>
            <w:tcW w:w="1701" w:type="dxa"/>
            <w:shd w:val="clear" w:color="auto" w:fill="C6D9F1"/>
          </w:tcPr>
          <w:p w14:paraId="63147528" w14:textId="77777777" w:rsidR="008F0176" w:rsidRPr="00B76363" w:rsidRDefault="008F0176" w:rsidP="00B76363">
            <w:pPr>
              <w:spacing w:after="0" w:line="276" w:lineRule="auto"/>
              <w:jc w:val="center"/>
              <w:rPr>
                <w:rFonts w:ascii="Times New Roman" w:eastAsia="Calibri" w:hAnsi="Times New Roman" w:cs="Times New Roman"/>
                <w:sz w:val="20"/>
                <w:szCs w:val="20"/>
                <w:lang w:val="en"/>
              </w:rPr>
            </w:pPr>
            <w:r w:rsidRPr="00B76363">
              <w:rPr>
                <w:rFonts w:ascii="Times New Roman" w:eastAsia="Calibri" w:hAnsi="Times New Roman" w:cs="Times New Roman"/>
                <w:sz w:val="20"/>
                <w:szCs w:val="20"/>
                <w:lang w:val="en"/>
              </w:rPr>
              <w:t>203.98- 274.34</w:t>
            </w:r>
          </w:p>
        </w:tc>
        <w:tc>
          <w:tcPr>
            <w:tcW w:w="851" w:type="dxa"/>
            <w:vMerge/>
            <w:shd w:val="clear" w:color="auto" w:fill="C6D9F1"/>
          </w:tcPr>
          <w:p w14:paraId="22DF685C" w14:textId="77777777" w:rsidR="008F0176" w:rsidRPr="00B76363" w:rsidRDefault="008F0176" w:rsidP="00B76363">
            <w:pPr>
              <w:spacing w:after="0" w:line="240" w:lineRule="auto"/>
              <w:jc w:val="center"/>
              <w:rPr>
                <w:rFonts w:ascii="Times New Roman" w:eastAsia="Calibri" w:hAnsi="Times New Roman" w:cs="Times New Roman"/>
                <w:sz w:val="20"/>
                <w:szCs w:val="20"/>
                <w:lang w:val="en"/>
              </w:rPr>
            </w:pPr>
          </w:p>
        </w:tc>
      </w:tr>
    </w:tbl>
    <w:p w14:paraId="4B817E5A" w14:textId="4C109599" w:rsidR="00FB695B" w:rsidRPr="00B76363" w:rsidRDefault="00B76363" w:rsidP="00FC3387">
      <w:pPr>
        <w:spacing w:after="0" w:line="276" w:lineRule="auto"/>
        <w:ind w:left="1418" w:right="1360"/>
        <w:jc w:val="both"/>
        <w:rPr>
          <w:rFonts w:asciiTheme="majorBidi" w:eastAsia="Calibri" w:hAnsiTheme="majorBidi" w:cstheme="majorBidi"/>
          <w:sz w:val="20"/>
          <w:szCs w:val="20"/>
        </w:rPr>
      </w:pPr>
      <w:r w:rsidRPr="00B76363">
        <w:rPr>
          <w:rFonts w:ascii="Times New Roman" w:eastAsia="Calibri" w:hAnsi="Times New Roman" w:cs="Times New Roman"/>
          <w:sz w:val="20"/>
          <w:szCs w:val="20"/>
          <w:lang w:val="en"/>
        </w:rPr>
        <w:t xml:space="preserve">*IQR: interquartile range, SD: standard deviation, No: number and </w:t>
      </w:r>
      <w:bookmarkStart w:id="11" w:name="_Hlk102385915"/>
      <w:r w:rsidRPr="00B76363">
        <w:rPr>
          <w:rFonts w:ascii="Times New Roman" w:eastAsia="Calibri" w:hAnsi="Times New Roman" w:cs="Times New Roman"/>
          <w:sz w:val="20"/>
          <w:szCs w:val="20"/>
          <w:lang w:val="en"/>
        </w:rPr>
        <w:t xml:space="preserve">significance at the </w:t>
      </w:r>
      <w:r w:rsidRPr="00B76363">
        <w:rPr>
          <w:rFonts w:ascii="Times New Roman" w:eastAsia="Calibri" w:hAnsi="Times New Roman" w:cs="Times New Roman"/>
          <w:i/>
          <w:iCs/>
          <w:sz w:val="20"/>
          <w:szCs w:val="20"/>
          <w:lang w:val="en"/>
        </w:rPr>
        <w:t>p</w:t>
      </w:r>
      <w:r w:rsidRPr="00B76363">
        <w:rPr>
          <w:rFonts w:ascii="Times New Roman" w:eastAsia="Calibri" w:hAnsi="Times New Roman" w:cs="Times New Roman"/>
          <w:sz w:val="20"/>
          <w:szCs w:val="20"/>
          <w:lang w:val="en"/>
        </w:rPr>
        <w:t xml:space="preserve"> &lt; 0.05.</w:t>
      </w:r>
      <w:bookmarkEnd w:id="11"/>
    </w:p>
    <w:p w14:paraId="4425230A" w14:textId="5FBE205B" w:rsidR="00FB695B" w:rsidRDefault="00FB695B" w:rsidP="00FB695B">
      <w:pPr>
        <w:spacing w:after="0" w:line="276" w:lineRule="auto"/>
        <w:jc w:val="both"/>
        <w:rPr>
          <w:rFonts w:asciiTheme="majorBidi" w:eastAsia="Calibri" w:hAnsiTheme="majorBidi" w:cstheme="majorBidi"/>
          <w:sz w:val="24"/>
          <w:szCs w:val="24"/>
        </w:rPr>
      </w:pPr>
    </w:p>
    <w:p w14:paraId="5BC97CCC" w14:textId="77777777" w:rsidR="0033304C" w:rsidRDefault="0033304C" w:rsidP="00566760">
      <w:pPr>
        <w:spacing w:after="200" w:line="240" w:lineRule="auto"/>
        <w:ind w:left="1843" w:right="1927"/>
        <w:jc w:val="both"/>
        <w:rPr>
          <w:rFonts w:ascii="Times New Roman" w:eastAsia="Calibri" w:hAnsi="Times New Roman" w:cs="Times New Roman"/>
          <w:b/>
          <w:bCs/>
          <w:sz w:val="20"/>
          <w:szCs w:val="20"/>
          <w:lang w:val="en"/>
        </w:rPr>
      </w:pPr>
      <w:bookmarkStart w:id="12" w:name="_Hlk98770908"/>
      <w:bookmarkEnd w:id="9"/>
    </w:p>
    <w:bookmarkEnd w:id="12"/>
    <w:p w14:paraId="46339678" w14:textId="77777777" w:rsidR="00E50CD3" w:rsidRDefault="00E50CD3" w:rsidP="00566760">
      <w:pPr>
        <w:spacing w:after="0"/>
        <w:jc w:val="center"/>
        <w:rPr>
          <w:rFonts w:asciiTheme="majorBidi" w:hAnsiTheme="majorBidi" w:cstheme="majorBidi"/>
          <w:b/>
          <w:bCs/>
          <w:sz w:val="20"/>
          <w:szCs w:val="20"/>
          <w:lang w:val="en"/>
        </w:rPr>
      </w:pPr>
      <w:r w:rsidRPr="00351BD3">
        <w:rPr>
          <w:rFonts w:asciiTheme="majorBidi" w:hAnsiTheme="majorBidi" w:cstheme="majorBidi"/>
          <w:noProof/>
          <w:sz w:val="28"/>
          <w:szCs w:val="28"/>
          <w:bdr w:val="thinThickSmallGap" w:sz="24" w:space="0" w:color="auto" w:frame="1"/>
        </w:rPr>
        <w:drawing>
          <wp:inline distT="0" distB="0" distL="0" distR="0" wp14:anchorId="7BFB91BE" wp14:editId="77E5292B">
            <wp:extent cx="4235687" cy="2652395"/>
            <wp:effectExtent l="0" t="0" r="0" b="0"/>
            <wp:docPr id="22" name="صورة 2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Chart, line chart&#10;&#10;Description automatically generated"/>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249712" cy="2661177"/>
                    </a:xfrm>
                    <a:prstGeom prst="rect">
                      <a:avLst/>
                    </a:prstGeom>
                    <a:noFill/>
                    <a:ln>
                      <a:noFill/>
                    </a:ln>
                  </pic:spPr>
                </pic:pic>
              </a:graphicData>
            </a:graphic>
          </wp:inline>
        </w:drawing>
      </w:r>
    </w:p>
    <w:p w14:paraId="7315F78C" w14:textId="7A438B31" w:rsidR="00B22F61" w:rsidRPr="00E50CD3" w:rsidRDefault="00E50CD3" w:rsidP="00FC3387">
      <w:pPr>
        <w:tabs>
          <w:tab w:val="left" w:pos="6521"/>
        </w:tabs>
        <w:spacing w:after="0"/>
        <w:ind w:left="709" w:right="793"/>
        <w:jc w:val="both"/>
        <w:rPr>
          <w:rFonts w:asciiTheme="majorBidi" w:eastAsia="Calibri" w:hAnsiTheme="majorBidi" w:cstheme="majorBidi"/>
          <w:sz w:val="20"/>
          <w:szCs w:val="20"/>
        </w:rPr>
      </w:pPr>
      <w:r w:rsidRPr="00E50CD3">
        <w:rPr>
          <w:rFonts w:asciiTheme="majorBidi" w:hAnsiTheme="majorBidi" w:cstheme="majorBidi"/>
          <w:b/>
          <w:bCs/>
          <w:sz w:val="20"/>
          <w:szCs w:val="20"/>
          <w:lang w:val="en"/>
        </w:rPr>
        <w:t>Figure</w:t>
      </w:r>
      <w:r w:rsidR="00566760">
        <w:rPr>
          <w:rFonts w:asciiTheme="majorBidi" w:hAnsiTheme="majorBidi" w:cstheme="majorBidi"/>
          <w:b/>
          <w:bCs/>
          <w:sz w:val="20"/>
          <w:szCs w:val="20"/>
          <w:lang w:val="en"/>
        </w:rPr>
        <w:t xml:space="preserve"> </w:t>
      </w:r>
      <w:r w:rsidRPr="00E50CD3">
        <w:rPr>
          <w:rFonts w:asciiTheme="majorBidi" w:hAnsiTheme="majorBidi" w:cstheme="majorBidi"/>
          <w:b/>
          <w:bCs/>
          <w:sz w:val="20"/>
          <w:szCs w:val="20"/>
          <w:lang w:val="en"/>
        </w:rPr>
        <w:t>1:</w:t>
      </w:r>
      <w:r w:rsidRPr="00E50CD3">
        <w:rPr>
          <w:rFonts w:asciiTheme="majorBidi" w:hAnsiTheme="majorBidi" w:cstheme="majorBidi"/>
          <w:sz w:val="20"/>
          <w:szCs w:val="20"/>
          <w:lang w:val="en"/>
        </w:rPr>
        <w:t xml:space="preserve"> </w:t>
      </w:r>
      <w:bookmarkStart w:id="13" w:name="_Hlk98782511"/>
      <w:r w:rsidRPr="00E50CD3">
        <w:rPr>
          <w:rFonts w:asciiTheme="majorBidi" w:hAnsiTheme="majorBidi" w:cstheme="majorBidi"/>
          <w:sz w:val="20"/>
          <w:szCs w:val="20"/>
          <w:lang w:val="en"/>
        </w:rPr>
        <w:t>The YKL-40 levels in the studied groups by violin and box plot comparison. The arrowhead in the middle is the mean values. Error bar is one SD. The blue box represents the interquartile range (IQR), the horizontal line in the middle is the Median. The shape of the violin display frequencies of observations.</w:t>
      </w:r>
      <w:bookmarkEnd w:id="13"/>
    </w:p>
    <w:p w14:paraId="59C5894A" w14:textId="0A30BB0C" w:rsidR="00B22F61" w:rsidRPr="00E50CD3" w:rsidRDefault="00B22F61" w:rsidP="00824ED6">
      <w:pPr>
        <w:spacing w:before="240" w:after="0" w:line="276" w:lineRule="auto"/>
        <w:jc w:val="both"/>
        <w:rPr>
          <w:rFonts w:asciiTheme="majorBidi" w:eastAsia="Calibri" w:hAnsiTheme="majorBidi" w:cstheme="majorBidi"/>
          <w:sz w:val="12"/>
          <w:szCs w:val="12"/>
        </w:rPr>
      </w:pPr>
    </w:p>
    <w:p w14:paraId="51874499" w14:textId="0332D908" w:rsidR="00FF4764" w:rsidRDefault="003C2993" w:rsidP="00FF4764">
      <w:pPr>
        <w:spacing w:before="240" w:after="0" w:line="276" w:lineRule="auto"/>
        <w:jc w:val="both"/>
        <w:rPr>
          <w:rFonts w:asciiTheme="majorBidi" w:eastAsia="Calibri" w:hAnsiTheme="majorBidi" w:cstheme="majorBidi"/>
          <w:sz w:val="24"/>
          <w:szCs w:val="24"/>
        </w:rPr>
      </w:pPr>
      <w:r w:rsidRPr="003C2993">
        <w:rPr>
          <w:rFonts w:asciiTheme="majorBidi" w:eastAsia="Calibri" w:hAnsiTheme="majorBidi" w:cstheme="majorBidi"/>
          <w:sz w:val="24"/>
          <w:szCs w:val="24"/>
          <w:lang w:val="en"/>
        </w:rPr>
        <w:lastRenderedPageBreak/>
        <w:t xml:space="preserve">     </w:t>
      </w:r>
      <w:bookmarkStart w:id="14" w:name="_Hlk102352979"/>
      <w:r w:rsidRPr="00A317E7">
        <w:rPr>
          <w:rFonts w:asciiTheme="majorBidi" w:eastAsia="Calibri" w:hAnsiTheme="majorBidi" w:cstheme="majorBidi"/>
          <w:sz w:val="24"/>
          <w:szCs w:val="24"/>
        </w:rPr>
        <w:t xml:space="preserve">The receiver operating characteristic (ROC) analysis was </w:t>
      </w:r>
      <w:r w:rsidR="0033304C" w:rsidRPr="00A317E7">
        <w:rPr>
          <w:rFonts w:asciiTheme="majorBidi" w:eastAsia="Calibri" w:hAnsiTheme="majorBidi" w:cstheme="majorBidi"/>
          <w:sz w:val="24"/>
          <w:szCs w:val="24"/>
        </w:rPr>
        <w:t>used</w:t>
      </w:r>
      <w:r w:rsidRPr="00A317E7">
        <w:rPr>
          <w:rFonts w:asciiTheme="majorBidi" w:eastAsia="Calibri" w:hAnsiTheme="majorBidi" w:cstheme="majorBidi"/>
          <w:sz w:val="24"/>
          <w:szCs w:val="24"/>
        </w:rPr>
        <w:t xml:space="preserve"> </w:t>
      </w:r>
      <w:r w:rsidR="0033304C" w:rsidRPr="00A317E7">
        <w:rPr>
          <w:rFonts w:asciiTheme="majorBidi" w:eastAsia="Calibri" w:hAnsiTheme="majorBidi" w:cstheme="majorBidi"/>
          <w:sz w:val="24"/>
          <w:szCs w:val="24"/>
        </w:rPr>
        <w:t xml:space="preserve">in </w:t>
      </w:r>
      <w:r w:rsidRPr="00A317E7">
        <w:rPr>
          <w:rFonts w:asciiTheme="majorBidi" w:eastAsia="Calibri" w:hAnsiTheme="majorBidi" w:cstheme="majorBidi"/>
          <w:sz w:val="24"/>
          <w:szCs w:val="24"/>
        </w:rPr>
        <w:t>the estimation of the sensitivity and specificity of the cutoff value of the YKL-40 at which the patients considered infected with acute or chronic toxoplasmosis if its value is higher than the specified cutoff value of this parameter.</w:t>
      </w:r>
      <w:bookmarkEnd w:id="14"/>
      <w:r w:rsidRPr="00A317E7">
        <w:rPr>
          <w:rFonts w:asciiTheme="majorBidi" w:eastAsia="Calibri" w:hAnsiTheme="majorBidi" w:cstheme="majorBidi"/>
          <w:sz w:val="24"/>
          <w:szCs w:val="24"/>
        </w:rPr>
        <w:t xml:space="preserve"> The comparison of the ROC curve and functional area under the curve (AUC) between</w:t>
      </w:r>
      <w:r w:rsidRPr="003C2993">
        <w:rPr>
          <w:rFonts w:asciiTheme="majorBidi" w:eastAsia="Calibri" w:hAnsiTheme="majorBidi" w:cstheme="majorBidi"/>
          <w:sz w:val="24"/>
          <w:szCs w:val="24"/>
        </w:rPr>
        <w:t xml:space="preserve"> the acute toxoplasmic patients and healthy individuals (controls) elucidated that YKL-40 is an excellent parameter, where the ROC curve showed that the AUC of YKL-40 is 1.00 and the cut-off value is &gt;669.078. </w:t>
      </w:r>
      <w:bookmarkStart w:id="15" w:name="_Hlk102353364"/>
      <w:r w:rsidRPr="003C2993">
        <w:rPr>
          <w:rFonts w:asciiTheme="majorBidi" w:eastAsia="Calibri" w:hAnsiTheme="majorBidi" w:cstheme="majorBidi"/>
          <w:sz w:val="24"/>
          <w:szCs w:val="24"/>
        </w:rPr>
        <w:t>Accordingly, the sensitivity is 100, and the specificity is 100, and therefore, the YKL-40 can be considered a very highly sensitive biomarker (</w:t>
      </w:r>
      <w:r w:rsidRPr="003C2993">
        <w:rPr>
          <w:rFonts w:asciiTheme="majorBidi" w:eastAsia="Calibri" w:hAnsiTheme="majorBidi" w:cstheme="majorBidi"/>
          <w:i/>
          <w:iCs/>
          <w:sz w:val="24"/>
          <w:szCs w:val="24"/>
        </w:rPr>
        <w:t>p</w:t>
      </w:r>
      <w:r w:rsidRPr="003C2993">
        <w:rPr>
          <w:rFonts w:asciiTheme="majorBidi" w:eastAsia="Calibri" w:hAnsiTheme="majorBidi" w:cstheme="majorBidi"/>
          <w:sz w:val="24"/>
          <w:szCs w:val="24"/>
        </w:rPr>
        <w:t> &lt; 0.0001) in the detection of the acute toxoplasmosis, </w:t>
      </w:r>
      <w:bookmarkEnd w:id="15"/>
      <w:r w:rsidRPr="00C54499">
        <w:rPr>
          <w:rFonts w:asciiTheme="majorBidi" w:eastAsia="Calibri" w:hAnsiTheme="majorBidi" w:cstheme="majorBidi"/>
          <w:b/>
          <w:bCs/>
          <w:sz w:val="24"/>
          <w:szCs w:val="24"/>
        </w:rPr>
        <w:t>Table</w:t>
      </w:r>
      <w:r w:rsidRPr="00C54499">
        <w:rPr>
          <w:rFonts w:asciiTheme="majorBidi" w:eastAsia="Calibri" w:hAnsiTheme="majorBidi" w:cstheme="majorBidi"/>
          <w:sz w:val="24"/>
          <w:szCs w:val="24"/>
        </w:rPr>
        <w:t> </w:t>
      </w:r>
      <w:r w:rsidR="00F45D1F" w:rsidRPr="00C54499">
        <w:rPr>
          <w:rFonts w:asciiTheme="majorBidi" w:eastAsia="Calibri" w:hAnsiTheme="majorBidi" w:cstheme="majorBidi"/>
          <w:b/>
          <w:bCs/>
          <w:sz w:val="24"/>
          <w:szCs w:val="24"/>
        </w:rPr>
        <w:t xml:space="preserve">2 </w:t>
      </w:r>
      <w:r w:rsidRPr="00C54499">
        <w:rPr>
          <w:rFonts w:asciiTheme="majorBidi" w:eastAsia="Calibri" w:hAnsiTheme="majorBidi" w:cstheme="majorBidi"/>
          <w:sz w:val="24"/>
          <w:szCs w:val="24"/>
        </w:rPr>
        <w:t>and </w:t>
      </w:r>
      <w:r w:rsidRPr="00C54499">
        <w:rPr>
          <w:rFonts w:asciiTheme="majorBidi" w:eastAsia="Calibri" w:hAnsiTheme="majorBidi" w:cstheme="majorBidi"/>
          <w:b/>
          <w:bCs/>
          <w:sz w:val="24"/>
          <w:szCs w:val="24"/>
        </w:rPr>
        <w:t>Figures</w:t>
      </w:r>
      <w:r w:rsidRPr="00C54499">
        <w:rPr>
          <w:rFonts w:asciiTheme="majorBidi" w:eastAsia="Calibri" w:hAnsiTheme="majorBidi" w:cstheme="majorBidi"/>
          <w:sz w:val="24"/>
          <w:szCs w:val="24"/>
        </w:rPr>
        <w:t> </w:t>
      </w:r>
      <w:r w:rsidRPr="00C54499">
        <w:rPr>
          <w:rFonts w:asciiTheme="majorBidi" w:eastAsia="Calibri" w:hAnsiTheme="majorBidi" w:cstheme="majorBidi"/>
          <w:b/>
          <w:bCs/>
          <w:sz w:val="24"/>
          <w:szCs w:val="24"/>
        </w:rPr>
        <w:t>2</w:t>
      </w:r>
      <w:r w:rsidR="00780794" w:rsidRPr="00C54499">
        <w:rPr>
          <w:rFonts w:asciiTheme="majorBidi" w:eastAsia="Calibri" w:hAnsiTheme="majorBidi" w:cstheme="majorBidi"/>
          <w:b/>
          <w:bCs/>
          <w:sz w:val="24"/>
          <w:szCs w:val="24"/>
        </w:rPr>
        <w:t xml:space="preserve"> a</w:t>
      </w:r>
      <w:r w:rsidRPr="00C54499">
        <w:rPr>
          <w:rFonts w:asciiTheme="majorBidi" w:eastAsia="Calibri" w:hAnsiTheme="majorBidi" w:cstheme="majorBidi"/>
          <w:sz w:val="24"/>
          <w:szCs w:val="24"/>
        </w:rPr>
        <w:t>.</w:t>
      </w:r>
    </w:p>
    <w:p w14:paraId="1BC4A7F7" w14:textId="751F7CBF" w:rsidR="00824ED6" w:rsidRDefault="003C2993" w:rsidP="00FF4764">
      <w:pPr>
        <w:spacing w:before="240" w:after="0" w:line="276" w:lineRule="auto"/>
        <w:jc w:val="both"/>
        <w:rPr>
          <w:rFonts w:asciiTheme="majorBidi" w:eastAsia="Calibri" w:hAnsiTheme="majorBidi" w:cstheme="majorBidi"/>
          <w:sz w:val="24"/>
          <w:szCs w:val="24"/>
          <w:rtl/>
          <w:lang w:bidi="ar-IQ"/>
        </w:rPr>
      </w:pPr>
      <w:r w:rsidRPr="003C2993">
        <w:rPr>
          <w:rFonts w:asciiTheme="majorBidi" w:eastAsia="Calibri" w:hAnsiTheme="majorBidi" w:cstheme="majorBidi"/>
          <w:sz w:val="24"/>
          <w:szCs w:val="24"/>
          <w:lang w:val="en"/>
        </w:rPr>
        <w:t xml:space="preserve">     </w:t>
      </w:r>
      <w:r w:rsidRPr="003C2993">
        <w:rPr>
          <w:rFonts w:asciiTheme="majorBidi" w:eastAsia="Calibri" w:hAnsiTheme="majorBidi" w:cstheme="majorBidi"/>
          <w:sz w:val="24"/>
          <w:szCs w:val="24"/>
        </w:rPr>
        <w:t xml:space="preserve">On the other hand, the comparison of the ROC curve and functional AUC between the chronic toxoplasmic patients and healthy controls elucidated that YKL-40 was close to an excellent parameter, where the ROC curve showed that the AUC of YKL-40 is 0.898 and the cut off value is &gt;283.563. Accordingly, the sensitivity was 92 and the specificity was 80, </w:t>
      </w:r>
      <w:bookmarkStart w:id="16" w:name="_Hlk102353442"/>
      <w:r w:rsidRPr="003C2993">
        <w:rPr>
          <w:rFonts w:asciiTheme="majorBidi" w:eastAsia="Calibri" w:hAnsiTheme="majorBidi" w:cstheme="majorBidi"/>
          <w:sz w:val="24"/>
          <w:szCs w:val="24"/>
        </w:rPr>
        <w:t xml:space="preserve">and therefore, the YKL-40 can be considered a very highly </w:t>
      </w:r>
      <w:r w:rsidR="00F14FE2">
        <w:rPr>
          <w:rFonts w:asciiTheme="majorBidi" w:eastAsia="Calibri" w:hAnsiTheme="majorBidi" w:cstheme="majorBidi"/>
          <w:sz w:val="24"/>
          <w:szCs w:val="24"/>
        </w:rPr>
        <w:t xml:space="preserve">significant </w:t>
      </w:r>
      <w:r w:rsidRPr="003C2993">
        <w:rPr>
          <w:rFonts w:asciiTheme="majorBidi" w:eastAsia="Calibri" w:hAnsiTheme="majorBidi" w:cstheme="majorBidi"/>
          <w:sz w:val="24"/>
          <w:szCs w:val="24"/>
        </w:rPr>
        <w:t>biomarker (</w:t>
      </w:r>
      <w:r w:rsidRPr="003C2993">
        <w:rPr>
          <w:rFonts w:asciiTheme="majorBidi" w:eastAsia="Calibri" w:hAnsiTheme="majorBidi" w:cstheme="majorBidi"/>
          <w:i/>
          <w:iCs/>
          <w:sz w:val="24"/>
          <w:szCs w:val="24"/>
        </w:rPr>
        <w:t>p</w:t>
      </w:r>
      <w:r w:rsidRPr="003C2993">
        <w:rPr>
          <w:rFonts w:asciiTheme="majorBidi" w:eastAsia="Calibri" w:hAnsiTheme="majorBidi" w:cstheme="majorBidi"/>
          <w:sz w:val="24"/>
          <w:szCs w:val="24"/>
        </w:rPr>
        <w:t> &lt; 0.0001) in the detection of the chronic toxoplasmosis</w:t>
      </w:r>
      <w:bookmarkEnd w:id="16"/>
      <w:r w:rsidRPr="003C2993">
        <w:rPr>
          <w:rFonts w:asciiTheme="majorBidi" w:eastAsia="Calibri" w:hAnsiTheme="majorBidi" w:cstheme="majorBidi"/>
          <w:sz w:val="24"/>
          <w:szCs w:val="24"/>
        </w:rPr>
        <w:t>, </w:t>
      </w:r>
      <w:r w:rsidRPr="003C2993">
        <w:rPr>
          <w:rFonts w:asciiTheme="majorBidi" w:eastAsia="Calibri" w:hAnsiTheme="majorBidi" w:cstheme="majorBidi"/>
          <w:b/>
          <w:bCs/>
          <w:sz w:val="24"/>
          <w:szCs w:val="24"/>
        </w:rPr>
        <w:t xml:space="preserve">Table </w:t>
      </w:r>
      <w:r w:rsidR="00F45D1F" w:rsidRPr="00C54499">
        <w:rPr>
          <w:rFonts w:asciiTheme="majorBidi" w:eastAsia="Calibri" w:hAnsiTheme="majorBidi" w:cstheme="majorBidi"/>
          <w:b/>
          <w:bCs/>
          <w:sz w:val="24"/>
          <w:szCs w:val="24"/>
        </w:rPr>
        <w:t>2</w:t>
      </w:r>
      <w:r w:rsidRPr="00C54499">
        <w:rPr>
          <w:rFonts w:asciiTheme="majorBidi" w:eastAsia="Calibri" w:hAnsiTheme="majorBidi" w:cstheme="majorBidi"/>
          <w:sz w:val="24"/>
          <w:szCs w:val="24"/>
        </w:rPr>
        <w:t> and </w:t>
      </w:r>
      <w:r w:rsidRPr="00C54499">
        <w:rPr>
          <w:rFonts w:asciiTheme="majorBidi" w:eastAsia="Calibri" w:hAnsiTheme="majorBidi" w:cstheme="majorBidi"/>
          <w:b/>
          <w:bCs/>
          <w:sz w:val="24"/>
          <w:szCs w:val="24"/>
        </w:rPr>
        <w:t xml:space="preserve">Figures </w:t>
      </w:r>
      <w:r w:rsidR="00780794" w:rsidRPr="00C54499">
        <w:rPr>
          <w:rFonts w:asciiTheme="majorBidi" w:eastAsia="Calibri" w:hAnsiTheme="majorBidi" w:cstheme="majorBidi"/>
          <w:b/>
          <w:bCs/>
          <w:sz w:val="24"/>
          <w:szCs w:val="24"/>
        </w:rPr>
        <w:t>2 b</w:t>
      </w:r>
      <w:r w:rsidRPr="00C54499">
        <w:rPr>
          <w:rFonts w:asciiTheme="majorBidi" w:eastAsia="Calibri" w:hAnsiTheme="majorBidi" w:cstheme="majorBidi"/>
          <w:sz w:val="24"/>
          <w:szCs w:val="24"/>
        </w:rPr>
        <w:t>.</w:t>
      </w:r>
    </w:p>
    <w:p w14:paraId="58CC5945" w14:textId="77777777" w:rsidR="00FF4764" w:rsidRDefault="00FF4764" w:rsidP="00FF4764">
      <w:pPr>
        <w:spacing w:before="240" w:after="0" w:line="276" w:lineRule="auto"/>
        <w:jc w:val="both"/>
        <w:rPr>
          <w:rFonts w:asciiTheme="majorBidi" w:eastAsia="Calibri" w:hAnsiTheme="majorBidi" w:cstheme="majorBidi"/>
          <w:sz w:val="24"/>
          <w:szCs w:val="24"/>
        </w:rPr>
      </w:pPr>
    </w:p>
    <w:p w14:paraId="62CF25B5" w14:textId="56407A3C" w:rsidR="00BA60D7" w:rsidRPr="00BA60D7" w:rsidRDefault="00BA60D7" w:rsidP="00BA60D7">
      <w:pPr>
        <w:spacing w:before="240" w:after="0" w:line="276" w:lineRule="auto"/>
        <w:jc w:val="both"/>
        <w:rPr>
          <w:rFonts w:asciiTheme="majorBidi" w:eastAsia="Calibri" w:hAnsiTheme="majorBidi" w:cstheme="majorBidi"/>
          <w:b/>
          <w:bCs/>
          <w:i/>
          <w:iCs/>
          <w:sz w:val="20"/>
          <w:szCs w:val="20"/>
          <w:lang w:val="en"/>
        </w:rPr>
      </w:pPr>
      <w:r w:rsidRPr="00BA60D7">
        <w:rPr>
          <w:rFonts w:asciiTheme="majorBidi" w:eastAsia="Calibri" w:hAnsiTheme="majorBidi" w:cstheme="majorBidi"/>
          <w:b/>
          <w:bCs/>
          <w:sz w:val="20"/>
          <w:szCs w:val="20"/>
          <w:lang w:val="en"/>
        </w:rPr>
        <w:t xml:space="preserve">Table </w:t>
      </w:r>
      <w:r w:rsidRPr="00BA60D7">
        <w:rPr>
          <w:rFonts w:asciiTheme="majorBidi" w:eastAsia="Calibri" w:hAnsiTheme="majorBidi" w:cstheme="majorBidi"/>
          <w:b/>
          <w:bCs/>
          <w:sz w:val="20"/>
          <w:szCs w:val="20"/>
          <w:cs/>
        </w:rPr>
        <w:t>‎</w:t>
      </w:r>
      <w:r w:rsidR="00F45D1F">
        <w:rPr>
          <w:rFonts w:asciiTheme="majorBidi" w:eastAsia="Calibri" w:hAnsiTheme="majorBidi" w:cstheme="majorBidi"/>
          <w:b/>
          <w:bCs/>
          <w:sz w:val="20"/>
          <w:szCs w:val="20"/>
          <w:lang w:val="en"/>
        </w:rPr>
        <w:t>2</w:t>
      </w:r>
      <w:r w:rsidRPr="00BA60D7">
        <w:rPr>
          <w:rFonts w:asciiTheme="majorBidi" w:eastAsia="Calibri" w:hAnsiTheme="majorBidi" w:cstheme="majorBidi"/>
          <w:sz w:val="20"/>
          <w:szCs w:val="20"/>
          <w:lang w:val="en"/>
        </w:rPr>
        <w:t>: The ROC analysis criteria of YKL-40.</w:t>
      </w:r>
    </w:p>
    <w:tbl>
      <w:tblPr>
        <w:tblW w:w="8789"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000" w:firstRow="0" w:lastRow="0" w:firstColumn="0" w:lastColumn="0" w:noHBand="0" w:noVBand="0"/>
      </w:tblPr>
      <w:tblGrid>
        <w:gridCol w:w="1134"/>
        <w:gridCol w:w="1701"/>
        <w:gridCol w:w="709"/>
        <w:gridCol w:w="709"/>
        <w:gridCol w:w="1417"/>
        <w:gridCol w:w="992"/>
        <w:gridCol w:w="567"/>
        <w:gridCol w:w="567"/>
        <w:gridCol w:w="993"/>
      </w:tblGrid>
      <w:tr w:rsidR="009F333B" w:rsidRPr="00BA60D7" w14:paraId="64851073" w14:textId="77777777" w:rsidTr="0050495B">
        <w:trPr>
          <w:trHeight w:val="409"/>
          <w:jc w:val="center"/>
        </w:trPr>
        <w:tc>
          <w:tcPr>
            <w:tcW w:w="1134" w:type="dxa"/>
            <w:shd w:val="clear" w:color="auto" w:fill="8DB3E2"/>
          </w:tcPr>
          <w:p w14:paraId="0A934158" w14:textId="5E47B4B6" w:rsidR="009F333B" w:rsidRPr="00BA60D7" w:rsidRDefault="009F333B" w:rsidP="009F333B">
            <w:pPr>
              <w:spacing w:before="240" w:after="0" w:line="276" w:lineRule="auto"/>
              <w:jc w:val="center"/>
              <w:rPr>
                <w:rFonts w:asciiTheme="majorBidi" w:eastAsia="Calibri" w:hAnsiTheme="majorBidi" w:cstheme="majorBidi"/>
                <w:sz w:val="20"/>
                <w:szCs w:val="20"/>
                <w:lang w:val="en"/>
              </w:rPr>
            </w:pPr>
            <w:bookmarkStart w:id="17" w:name="_Hlk99311483"/>
            <w:r w:rsidRPr="00BA60D7">
              <w:rPr>
                <w:rFonts w:asciiTheme="majorBidi" w:eastAsia="Calibri" w:hAnsiTheme="majorBidi" w:cstheme="majorBidi"/>
                <w:b/>
                <w:bCs/>
                <w:sz w:val="20"/>
                <w:szCs w:val="20"/>
                <w:lang w:val="en"/>
              </w:rPr>
              <w:t>Parameter</w:t>
            </w:r>
          </w:p>
        </w:tc>
        <w:tc>
          <w:tcPr>
            <w:tcW w:w="1701" w:type="dxa"/>
            <w:shd w:val="clear" w:color="auto" w:fill="8DB3E2"/>
          </w:tcPr>
          <w:p w14:paraId="4A950250" w14:textId="3E04C5C3" w:rsidR="009F333B" w:rsidRPr="00BA60D7" w:rsidRDefault="009F333B" w:rsidP="009F333B">
            <w:pPr>
              <w:spacing w:before="240" w:after="0" w:line="276" w:lineRule="auto"/>
              <w:jc w:val="center"/>
              <w:rPr>
                <w:rFonts w:asciiTheme="majorBidi" w:eastAsia="Calibri" w:hAnsiTheme="majorBidi" w:cstheme="majorBidi"/>
                <w:b/>
                <w:bCs/>
                <w:sz w:val="20"/>
                <w:szCs w:val="20"/>
                <w:lang w:val="en"/>
              </w:rPr>
            </w:pPr>
            <w:r w:rsidRPr="00BA60D7">
              <w:rPr>
                <w:rFonts w:asciiTheme="majorBidi" w:eastAsia="Calibri" w:hAnsiTheme="majorBidi" w:cstheme="majorBidi"/>
                <w:b/>
                <w:bCs/>
                <w:sz w:val="20"/>
                <w:szCs w:val="20"/>
                <w:lang w:val="en"/>
              </w:rPr>
              <w:t>Comparation</w:t>
            </w:r>
          </w:p>
        </w:tc>
        <w:tc>
          <w:tcPr>
            <w:tcW w:w="709" w:type="dxa"/>
            <w:shd w:val="clear" w:color="auto" w:fill="8DB3E2"/>
          </w:tcPr>
          <w:p w14:paraId="4E3E8790" w14:textId="2ABB9624" w:rsidR="009F333B" w:rsidRPr="00BA60D7" w:rsidRDefault="009F333B" w:rsidP="009F333B">
            <w:pPr>
              <w:spacing w:before="240" w:after="0" w:line="276" w:lineRule="auto"/>
              <w:jc w:val="center"/>
              <w:rPr>
                <w:rFonts w:asciiTheme="majorBidi" w:eastAsia="Calibri" w:hAnsiTheme="majorBidi" w:cstheme="majorBidi"/>
                <w:sz w:val="20"/>
                <w:szCs w:val="20"/>
                <w:lang w:val="en"/>
              </w:rPr>
            </w:pPr>
            <w:r w:rsidRPr="00BA60D7">
              <w:rPr>
                <w:rFonts w:asciiTheme="majorBidi" w:eastAsia="Calibri" w:hAnsiTheme="majorBidi" w:cstheme="majorBidi"/>
                <w:b/>
                <w:bCs/>
                <w:sz w:val="20"/>
                <w:szCs w:val="20"/>
                <w:lang w:val="en"/>
              </w:rPr>
              <w:t>AUC</w:t>
            </w:r>
          </w:p>
        </w:tc>
        <w:tc>
          <w:tcPr>
            <w:tcW w:w="709" w:type="dxa"/>
            <w:shd w:val="clear" w:color="auto" w:fill="8DB3E2"/>
          </w:tcPr>
          <w:p w14:paraId="4FE37ACD" w14:textId="77777777" w:rsidR="009F333B" w:rsidRPr="00BA60D7" w:rsidRDefault="009F333B" w:rsidP="009F333B">
            <w:pPr>
              <w:spacing w:before="240" w:after="0" w:line="276" w:lineRule="auto"/>
              <w:jc w:val="center"/>
              <w:rPr>
                <w:rFonts w:asciiTheme="majorBidi" w:eastAsia="Calibri" w:hAnsiTheme="majorBidi" w:cstheme="majorBidi"/>
                <w:sz w:val="20"/>
                <w:szCs w:val="20"/>
                <w:lang w:val="en"/>
              </w:rPr>
            </w:pPr>
            <w:r w:rsidRPr="00BA60D7">
              <w:rPr>
                <w:rFonts w:asciiTheme="majorBidi" w:eastAsia="Calibri" w:hAnsiTheme="majorBidi" w:cstheme="majorBidi"/>
                <w:b/>
                <w:bCs/>
                <w:sz w:val="20"/>
                <w:szCs w:val="20"/>
                <w:lang w:val="en"/>
              </w:rPr>
              <w:t>SE</w:t>
            </w:r>
            <w:r w:rsidRPr="00BA60D7">
              <w:rPr>
                <w:rFonts w:asciiTheme="majorBidi" w:eastAsia="Calibri" w:hAnsiTheme="majorBidi" w:cstheme="majorBidi"/>
                <w:b/>
                <w:bCs/>
                <w:sz w:val="20"/>
                <w:szCs w:val="20"/>
                <w:vertAlign w:val="superscript"/>
                <w:lang w:val="en"/>
              </w:rPr>
              <w:t>a</w:t>
            </w:r>
          </w:p>
        </w:tc>
        <w:tc>
          <w:tcPr>
            <w:tcW w:w="1417" w:type="dxa"/>
            <w:shd w:val="clear" w:color="auto" w:fill="8DB3E2"/>
          </w:tcPr>
          <w:p w14:paraId="64EADBFE" w14:textId="77777777" w:rsidR="009F333B" w:rsidRPr="00BA60D7" w:rsidRDefault="009F333B" w:rsidP="009F333B">
            <w:pPr>
              <w:spacing w:before="240" w:after="0" w:line="276" w:lineRule="auto"/>
              <w:jc w:val="center"/>
              <w:rPr>
                <w:rFonts w:asciiTheme="majorBidi" w:eastAsia="Calibri" w:hAnsiTheme="majorBidi" w:cstheme="majorBidi"/>
                <w:sz w:val="20"/>
                <w:szCs w:val="20"/>
                <w:lang w:val="en"/>
              </w:rPr>
            </w:pPr>
            <w:r w:rsidRPr="00BA60D7">
              <w:rPr>
                <w:rFonts w:asciiTheme="majorBidi" w:eastAsia="Calibri" w:hAnsiTheme="majorBidi" w:cstheme="majorBidi"/>
                <w:b/>
                <w:bCs/>
                <w:sz w:val="20"/>
                <w:szCs w:val="20"/>
                <w:lang w:val="en"/>
              </w:rPr>
              <w:t>95% CI</w:t>
            </w:r>
            <w:r w:rsidRPr="00BA60D7">
              <w:rPr>
                <w:rFonts w:asciiTheme="majorBidi" w:eastAsia="Calibri" w:hAnsiTheme="majorBidi" w:cstheme="majorBidi"/>
                <w:b/>
                <w:bCs/>
                <w:sz w:val="20"/>
                <w:szCs w:val="20"/>
                <w:vertAlign w:val="superscript"/>
                <w:lang w:val="en"/>
              </w:rPr>
              <w:t>b</w:t>
            </w:r>
          </w:p>
        </w:tc>
        <w:tc>
          <w:tcPr>
            <w:tcW w:w="992" w:type="dxa"/>
            <w:shd w:val="clear" w:color="auto" w:fill="8DB3E2"/>
          </w:tcPr>
          <w:p w14:paraId="21069117" w14:textId="77777777" w:rsidR="009F333B" w:rsidRPr="00BA60D7" w:rsidRDefault="009F333B" w:rsidP="009F333B">
            <w:pPr>
              <w:spacing w:before="240" w:after="0" w:line="276" w:lineRule="auto"/>
              <w:jc w:val="center"/>
              <w:rPr>
                <w:rFonts w:asciiTheme="majorBidi" w:eastAsia="Calibri" w:hAnsiTheme="majorBidi" w:cstheme="majorBidi"/>
                <w:sz w:val="20"/>
                <w:szCs w:val="20"/>
                <w:lang w:val="en"/>
              </w:rPr>
            </w:pPr>
            <w:r w:rsidRPr="00BA60D7">
              <w:rPr>
                <w:rFonts w:asciiTheme="majorBidi" w:eastAsia="Calibri" w:hAnsiTheme="majorBidi" w:cstheme="majorBidi"/>
                <w:b/>
                <w:bCs/>
                <w:sz w:val="20"/>
                <w:szCs w:val="20"/>
                <w:lang w:val="en"/>
              </w:rPr>
              <w:t>Cut-off</w:t>
            </w:r>
          </w:p>
        </w:tc>
        <w:tc>
          <w:tcPr>
            <w:tcW w:w="567" w:type="dxa"/>
            <w:shd w:val="clear" w:color="auto" w:fill="8DB3E2"/>
          </w:tcPr>
          <w:p w14:paraId="13F8F5D3" w14:textId="77777777" w:rsidR="009F333B" w:rsidRPr="00BA60D7" w:rsidRDefault="009F333B" w:rsidP="009F333B">
            <w:pPr>
              <w:spacing w:before="240" w:after="0" w:line="276" w:lineRule="auto"/>
              <w:jc w:val="center"/>
              <w:rPr>
                <w:rFonts w:asciiTheme="majorBidi" w:eastAsia="Calibri" w:hAnsiTheme="majorBidi" w:cstheme="majorBidi"/>
                <w:b/>
                <w:bCs/>
                <w:sz w:val="20"/>
                <w:szCs w:val="20"/>
                <w:lang w:val="en"/>
              </w:rPr>
            </w:pPr>
            <w:r w:rsidRPr="00BA60D7">
              <w:rPr>
                <w:rFonts w:asciiTheme="majorBidi" w:eastAsia="Calibri" w:hAnsiTheme="majorBidi" w:cstheme="majorBidi"/>
                <w:b/>
                <w:bCs/>
                <w:sz w:val="20"/>
                <w:szCs w:val="20"/>
                <w:lang w:val="en"/>
              </w:rPr>
              <w:t>Se.</w:t>
            </w:r>
          </w:p>
        </w:tc>
        <w:tc>
          <w:tcPr>
            <w:tcW w:w="567" w:type="dxa"/>
            <w:shd w:val="clear" w:color="auto" w:fill="8DB3E2"/>
          </w:tcPr>
          <w:p w14:paraId="50FB6AA8" w14:textId="77777777" w:rsidR="009F333B" w:rsidRPr="00BA60D7" w:rsidRDefault="009F333B" w:rsidP="009F333B">
            <w:pPr>
              <w:spacing w:before="240" w:after="0" w:line="276" w:lineRule="auto"/>
              <w:jc w:val="center"/>
              <w:rPr>
                <w:rFonts w:asciiTheme="majorBidi" w:eastAsia="Calibri" w:hAnsiTheme="majorBidi" w:cstheme="majorBidi"/>
                <w:b/>
                <w:bCs/>
                <w:sz w:val="20"/>
                <w:szCs w:val="20"/>
                <w:lang w:val="en"/>
              </w:rPr>
            </w:pPr>
            <w:r w:rsidRPr="00BA60D7">
              <w:rPr>
                <w:rFonts w:asciiTheme="majorBidi" w:eastAsia="Calibri" w:hAnsiTheme="majorBidi" w:cstheme="majorBidi"/>
                <w:b/>
                <w:bCs/>
                <w:sz w:val="20"/>
                <w:szCs w:val="20"/>
                <w:lang w:val="en"/>
              </w:rPr>
              <w:t>Sp.</w:t>
            </w:r>
          </w:p>
        </w:tc>
        <w:tc>
          <w:tcPr>
            <w:tcW w:w="993" w:type="dxa"/>
            <w:shd w:val="clear" w:color="auto" w:fill="8DB3E2"/>
          </w:tcPr>
          <w:p w14:paraId="5837820D" w14:textId="77777777" w:rsidR="009F333B" w:rsidRPr="00BA60D7" w:rsidRDefault="009F333B" w:rsidP="009F333B">
            <w:pPr>
              <w:spacing w:before="240" w:after="0" w:line="276" w:lineRule="auto"/>
              <w:jc w:val="center"/>
              <w:rPr>
                <w:rFonts w:asciiTheme="majorBidi" w:eastAsia="Calibri" w:hAnsiTheme="majorBidi" w:cstheme="majorBidi"/>
                <w:i/>
                <w:iCs/>
                <w:sz w:val="20"/>
                <w:szCs w:val="20"/>
                <w:lang w:val="en"/>
              </w:rPr>
            </w:pPr>
            <w:r w:rsidRPr="00BA60D7">
              <w:rPr>
                <w:rFonts w:asciiTheme="majorBidi" w:eastAsia="Calibri" w:hAnsiTheme="majorBidi" w:cstheme="majorBidi"/>
                <w:b/>
                <w:bCs/>
                <w:i/>
                <w:iCs/>
                <w:sz w:val="20"/>
                <w:szCs w:val="20"/>
                <w:lang w:val="en"/>
              </w:rPr>
              <w:t>P-value</w:t>
            </w:r>
          </w:p>
        </w:tc>
      </w:tr>
      <w:tr w:rsidR="009F333B" w:rsidRPr="00BA60D7" w14:paraId="6BB3E0E9" w14:textId="77777777" w:rsidTr="0050495B">
        <w:trPr>
          <w:trHeight w:val="275"/>
          <w:jc w:val="center"/>
        </w:trPr>
        <w:tc>
          <w:tcPr>
            <w:tcW w:w="1134" w:type="dxa"/>
            <w:vMerge w:val="restart"/>
            <w:shd w:val="clear" w:color="auto" w:fill="C6D9F1"/>
          </w:tcPr>
          <w:p w14:paraId="5568D9CB" w14:textId="77777777" w:rsidR="00114CF0" w:rsidRDefault="00114CF0" w:rsidP="00114CF0">
            <w:pPr>
              <w:spacing w:line="276" w:lineRule="auto"/>
              <w:jc w:val="center"/>
              <w:rPr>
                <w:rFonts w:asciiTheme="majorBidi" w:eastAsia="Calibri" w:hAnsiTheme="majorBidi" w:cstheme="majorBidi"/>
                <w:sz w:val="20"/>
                <w:szCs w:val="20"/>
                <w:lang w:val="en"/>
              </w:rPr>
            </w:pPr>
          </w:p>
          <w:p w14:paraId="09DD9D82" w14:textId="627C4B7D" w:rsidR="009F333B" w:rsidRPr="00BA60D7" w:rsidRDefault="009F333B" w:rsidP="009F333B">
            <w:pPr>
              <w:spacing w:before="240" w:line="276" w:lineRule="auto"/>
              <w:jc w:val="center"/>
              <w:rPr>
                <w:rFonts w:asciiTheme="majorBidi" w:eastAsia="Calibri" w:hAnsiTheme="majorBidi" w:cstheme="majorBidi"/>
                <w:sz w:val="20"/>
                <w:szCs w:val="20"/>
                <w:lang w:val="en"/>
              </w:rPr>
            </w:pPr>
            <w:r w:rsidRPr="00BA60D7">
              <w:rPr>
                <w:rFonts w:asciiTheme="majorBidi" w:eastAsia="Calibri" w:hAnsiTheme="majorBidi" w:cstheme="majorBidi"/>
                <w:sz w:val="20"/>
                <w:szCs w:val="20"/>
                <w:lang w:val="en"/>
              </w:rPr>
              <w:t>YKL-40</w:t>
            </w:r>
          </w:p>
        </w:tc>
        <w:tc>
          <w:tcPr>
            <w:tcW w:w="1701" w:type="dxa"/>
            <w:shd w:val="clear" w:color="auto" w:fill="C6D9F1"/>
          </w:tcPr>
          <w:p w14:paraId="31C5475A" w14:textId="500E209C" w:rsidR="009F333B" w:rsidRPr="00C46EAC" w:rsidRDefault="009F333B" w:rsidP="00C46EAC">
            <w:pPr>
              <w:spacing w:line="276" w:lineRule="auto"/>
              <w:rPr>
                <w:rFonts w:asciiTheme="majorBidi" w:eastAsia="Calibri" w:hAnsiTheme="majorBidi" w:cstheme="majorBidi"/>
                <w:sz w:val="20"/>
                <w:szCs w:val="20"/>
              </w:rPr>
            </w:pPr>
            <w:r w:rsidRPr="00C46EAC">
              <w:rPr>
                <w:rFonts w:asciiTheme="majorBidi" w:eastAsia="Calibri" w:hAnsiTheme="majorBidi" w:cstheme="majorBidi"/>
                <w:sz w:val="20"/>
                <w:szCs w:val="20"/>
                <w:lang w:val="en"/>
              </w:rPr>
              <w:t>Acute</w:t>
            </w:r>
            <w:r w:rsidR="00C46EAC">
              <w:rPr>
                <w:rFonts w:asciiTheme="majorBidi" w:eastAsia="Calibri" w:hAnsiTheme="majorBidi" w:cstheme="majorBidi"/>
                <w:sz w:val="20"/>
                <w:szCs w:val="20"/>
                <w:lang w:val="en"/>
              </w:rPr>
              <w:t xml:space="preserve"> </w:t>
            </w:r>
            <w:r w:rsidRPr="00C46EAC">
              <w:rPr>
                <w:rFonts w:asciiTheme="majorBidi" w:eastAsia="Calibri" w:hAnsiTheme="majorBidi" w:cstheme="majorBidi"/>
                <w:sz w:val="20"/>
                <w:szCs w:val="20"/>
                <w:lang w:val="en"/>
              </w:rPr>
              <w:t>infection</w:t>
            </w:r>
            <w:r w:rsidR="008F0176" w:rsidRPr="00C46EAC">
              <w:rPr>
                <w:rFonts w:asciiTheme="majorBidi" w:hAnsiTheme="majorBidi" w:cstheme="majorBidi"/>
                <w:sz w:val="24"/>
                <w:szCs w:val="24"/>
                <w:lang w:val="en"/>
              </w:rPr>
              <w:t xml:space="preserve"> </w:t>
            </w:r>
            <w:r w:rsidR="008F0176" w:rsidRPr="00C46EAC">
              <w:rPr>
                <w:rFonts w:asciiTheme="majorBidi" w:eastAsia="Calibri" w:hAnsiTheme="majorBidi" w:cstheme="majorBidi"/>
                <w:sz w:val="20"/>
                <w:szCs w:val="20"/>
                <w:lang w:val="en"/>
              </w:rPr>
              <w:t>vs Control</w:t>
            </w:r>
          </w:p>
        </w:tc>
        <w:tc>
          <w:tcPr>
            <w:tcW w:w="709" w:type="dxa"/>
            <w:shd w:val="clear" w:color="auto" w:fill="C6D9F1"/>
          </w:tcPr>
          <w:p w14:paraId="15F0372E" w14:textId="172E8189" w:rsidR="009F333B" w:rsidRPr="00BA60D7" w:rsidRDefault="009F333B" w:rsidP="009F333B">
            <w:pPr>
              <w:spacing w:line="276" w:lineRule="auto"/>
              <w:jc w:val="center"/>
              <w:rPr>
                <w:rFonts w:asciiTheme="majorBidi" w:eastAsia="Calibri" w:hAnsiTheme="majorBidi" w:cstheme="majorBidi"/>
                <w:sz w:val="20"/>
                <w:szCs w:val="20"/>
                <w:lang w:val="en"/>
              </w:rPr>
            </w:pPr>
            <w:r w:rsidRPr="00BA60D7">
              <w:rPr>
                <w:rFonts w:asciiTheme="majorBidi" w:eastAsia="Calibri" w:hAnsiTheme="majorBidi" w:cstheme="majorBidi"/>
                <w:sz w:val="20"/>
                <w:szCs w:val="20"/>
                <w:lang w:val="en"/>
              </w:rPr>
              <w:t>1.00</w:t>
            </w:r>
          </w:p>
        </w:tc>
        <w:tc>
          <w:tcPr>
            <w:tcW w:w="709" w:type="dxa"/>
            <w:shd w:val="clear" w:color="auto" w:fill="C6D9F1"/>
          </w:tcPr>
          <w:p w14:paraId="3B81A6F8" w14:textId="77777777" w:rsidR="009F333B" w:rsidRPr="00BA60D7" w:rsidRDefault="009F333B" w:rsidP="009F333B">
            <w:pPr>
              <w:spacing w:line="276" w:lineRule="auto"/>
              <w:jc w:val="center"/>
              <w:rPr>
                <w:rFonts w:asciiTheme="majorBidi" w:eastAsia="Calibri" w:hAnsiTheme="majorBidi" w:cstheme="majorBidi"/>
                <w:sz w:val="20"/>
                <w:szCs w:val="20"/>
                <w:lang w:val="en"/>
              </w:rPr>
            </w:pPr>
            <w:r w:rsidRPr="00BA60D7">
              <w:rPr>
                <w:rFonts w:asciiTheme="majorBidi" w:eastAsia="Calibri" w:hAnsiTheme="majorBidi" w:cstheme="majorBidi"/>
                <w:sz w:val="20"/>
                <w:szCs w:val="20"/>
                <w:lang w:val="en"/>
              </w:rPr>
              <w:t>0.00</w:t>
            </w:r>
          </w:p>
        </w:tc>
        <w:tc>
          <w:tcPr>
            <w:tcW w:w="1417" w:type="dxa"/>
            <w:shd w:val="clear" w:color="auto" w:fill="C6D9F1"/>
          </w:tcPr>
          <w:p w14:paraId="77EF47F7" w14:textId="77777777" w:rsidR="009F333B" w:rsidRPr="00BA60D7" w:rsidRDefault="009F333B" w:rsidP="009F333B">
            <w:pPr>
              <w:spacing w:line="276" w:lineRule="auto"/>
              <w:jc w:val="center"/>
              <w:rPr>
                <w:rFonts w:asciiTheme="majorBidi" w:eastAsia="Calibri" w:hAnsiTheme="majorBidi" w:cstheme="majorBidi"/>
                <w:sz w:val="20"/>
                <w:szCs w:val="20"/>
                <w:lang w:val="en"/>
              </w:rPr>
            </w:pPr>
            <w:r w:rsidRPr="00BA60D7">
              <w:rPr>
                <w:rFonts w:asciiTheme="majorBidi" w:eastAsia="Calibri" w:hAnsiTheme="majorBidi" w:cstheme="majorBidi"/>
                <w:sz w:val="20"/>
                <w:szCs w:val="20"/>
                <w:lang w:val="en"/>
              </w:rPr>
              <w:t>0.912 to 1.000</w:t>
            </w:r>
          </w:p>
        </w:tc>
        <w:tc>
          <w:tcPr>
            <w:tcW w:w="992" w:type="dxa"/>
            <w:shd w:val="clear" w:color="auto" w:fill="C6D9F1"/>
          </w:tcPr>
          <w:p w14:paraId="31A8C0B3" w14:textId="77777777" w:rsidR="009F333B" w:rsidRPr="00BA60D7" w:rsidRDefault="009F333B" w:rsidP="009F333B">
            <w:pPr>
              <w:spacing w:line="276" w:lineRule="auto"/>
              <w:jc w:val="center"/>
              <w:rPr>
                <w:rFonts w:asciiTheme="majorBidi" w:eastAsia="Calibri" w:hAnsiTheme="majorBidi" w:cstheme="majorBidi"/>
                <w:sz w:val="20"/>
                <w:szCs w:val="20"/>
                <w:lang w:val="en"/>
              </w:rPr>
            </w:pPr>
            <w:r w:rsidRPr="00BA60D7">
              <w:rPr>
                <w:rFonts w:asciiTheme="majorBidi" w:eastAsia="Calibri" w:hAnsiTheme="majorBidi" w:cstheme="majorBidi"/>
                <w:sz w:val="20"/>
                <w:szCs w:val="20"/>
                <w:lang w:val="en"/>
              </w:rPr>
              <w:t>&gt;669.078</w:t>
            </w:r>
          </w:p>
        </w:tc>
        <w:tc>
          <w:tcPr>
            <w:tcW w:w="567" w:type="dxa"/>
            <w:shd w:val="clear" w:color="auto" w:fill="C6D9F1"/>
          </w:tcPr>
          <w:p w14:paraId="31F55125" w14:textId="77777777" w:rsidR="009F333B" w:rsidRPr="00BA60D7" w:rsidRDefault="009F333B" w:rsidP="009F333B">
            <w:pPr>
              <w:spacing w:line="276" w:lineRule="auto"/>
              <w:jc w:val="center"/>
              <w:rPr>
                <w:rFonts w:asciiTheme="majorBidi" w:eastAsia="Calibri" w:hAnsiTheme="majorBidi" w:cstheme="majorBidi"/>
                <w:sz w:val="20"/>
                <w:szCs w:val="20"/>
                <w:lang w:val="en"/>
              </w:rPr>
            </w:pPr>
            <w:r w:rsidRPr="00BA60D7">
              <w:rPr>
                <w:rFonts w:asciiTheme="majorBidi" w:eastAsia="Calibri" w:hAnsiTheme="majorBidi" w:cstheme="majorBidi"/>
                <w:sz w:val="20"/>
                <w:szCs w:val="20"/>
                <w:lang w:val="en"/>
              </w:rPr>
              <w:t>100</w:t>
            </w:r>
          </w:p>
        </w:tc>
        <w:tc>
          <w:tcPr>
            <w:tcW w:w="567" w:type="dxa"/>
            <w:shd w:val="clear" w:color="auto" w:fill="C6D9F1"/>
          </w:tcPr>
          <w:p w14:paraId="2B36C22C" w14:textId="77777777" w:rsidR="009F333B" w:rsidRPr="00BA60D7" w:rsidRDefault="009F333B" w:rsidP="009F333B">
            <w:pPr>
              <w:spacing w:line="276" w:lineRule="auto"/>
              <w:jc w:val="center"/>
              <w:rPr>
                <w:rFonts w:asciiTheme="majorBidi" w:eastAsia="Calibri" w:hAnsiTheme="majorBidi" w:cstheme="majorBidi"/>
                <w:sz w:val="20"/>
                <w:szCs w:val="20"/>
                <w:lang w:val="en"/>
              </w:rPr>
            </w:pPr>
            <w:r w:rsidRPr="00BA60D7">
              <w:rPr>
                <w:rFonts w:asciiTheme="majorBidi" w:eastAsia="Calibri" w:hAnsiTheme="majorBidi" w:cstheme="majorBidi"/>
                <w:sz w:val="20"/>
                <w:szCs w:val="20"/>
                <w:lang w:val="en"/>
              </w:rPr>
              <w:t>100</w:t>
            </w:r>
          </w:p>
        </w:tc>
        <w:tc>
          <w:tcPr>
            <w:tcW w:w="993" w:type="dxa"/>
            <w:shd w:val="clear" w:color="auto" w:fill="C6D9F1"/>
          </w:tcPr>
          <w:p w14:paraId="6EC3E1A1" w14:textId="77777777" w:rsidR="009F333B" w:rsidRPr="00BA60D7" w:rsidRDefault="009F333B" w:rsidP="009F333B">
            <w:pPr>
              <w:spacing w:line="276" w:lineRule="auto"/>
              <w:jc w:val="center"/>
              <w:rPr>
                <w:rFonts w:asciiTheme="majorBidi" w:eastAsia="Calibri" w:hAnsiTheme="majorBidi" w:cstheme="majorBidi"/>
                <w:sz w:val="20"/>
                <w:szCs w:val="20"/>
                <w:lang w:val="en"/>
              </w:rPr>
            </w:pPr>
            <w:r w:rsidRPr="00BA60D7">
              <w:rPr>
                <w:rFonts w:asciiTheme="majorBidi" w:eastAsia="Calibri" w:hAnsiTheme="majorBidi" w:cstheme="majorBidi"/>
                <w:sz w:val="20"/>
                <w:szCs w:val="20"/>
                <w:lang w:val="en"/>
              </w:rPr>
              <w:t>&lt;0.0001</w:t>
            </w:r>
          </w:p>
        </w:tc>
      </w:tr>
      <w:tr w:rsidR="009F333B" w:rsidRPr="00BA60D7" w14:paraId="02730061" w14:textId="77777777" w:rsidTr="0050495B">
        <w:trPr>
          <w:trHeight w:val="398"/>
          <w:jc w:val="center"/>
        </w:trPr>
        <w:tc>
          <w:tcPr>
            <w:tcW w:w="1134" w:type="dxa"/>
            <w:vMerge/>
            <w:shd w:val="clear" w:color="auto" w:fill="C6D9F1"/>
          </w:tcPr>
          <w:p w14:paraId="2574BDC4" w14:textId="77777777" w:rsidR="009F333B" w:rsidRPr="00BA60D7" w:rsidRDefault="009F333B" w:rsidP="009F333B">
            <w:pPr>
              <w:spacing w:line="276" w:lineRule="auto"/>
              <w:jc w:val="both"/>
              <w:rPr>
                <w:rFonts w:asciiTheme="majorBidi" w:eastAsia="Calibri" w:hAnsiTheme="majorBidi" w:cstheme="majorBidi"/>
                <w:sz w:val="20"/>
                <w:szCs w:val="20"/>
                <w:lang w:val="en"/>
              </w:rPr>
            </w:pPr>
          </w:p>
        </w:tc>
        <w:tc>
          <w:tcPr>
            <w:tcW w:w="1701" w:type="dxa"/>
            <w:shd w:val="clear" w:color="auto" w:fill="D5DCE4" w:themeFill="text2" w:themeFillTint="33"/>
          </w:tcPr>
          <w:p w14:paraId="0B84BBF3" w14:textId="3667729A" w:rsidR="009F333B" w:rsidRPr="00C46EAC" w:rsidRDefault="009F333B" w:rsidP="00C46EAC">
            <w:pPr>
              <w:spacing w:line="276" w:lineRule="auto"/>
              <w:rPr>
                <w:rFonts w:asciiTheme="majorBidi" w:hAnsiTheme="majorBidi" w:cstheme="majorBidi"/>
                <w:sz w:val="20"/>
                <w:szCs w:val="20"/>
                <w:lang w:val="en"/>
              </w:rPr>
            </w:pPr>
            <w:r w:rsidRPr="00C46EAC">
              <w:rPr>
                <w:rFonts w:asciiTheme="majorBidi" w:eastAsia="Calibri" w:hAnsiTheme="majorBidi" w:cstheme="majorBidi"/>
                <w:sz w:val="20"/>
                <w:szCs w:val="20"/>
                <w:lang w:val="en"/>
              </w:rPr>
              <w:t>Chronic</w:t>
            </w:r>
            <w:r w:rsidR="00C46EAC">
              <w:rPr>
                <w:rFonts w:asciiTheme="majorBidi" w:eastAsia="Calibri" w:hAnsiTheme="majorBidi" w:cstheme="majorBidi"/>
                <w:sz w:val="20"/>
                <w:szCs w:val="20"/>
                <w:lang w:val="en"/>
              </w:rPr>
              <w:t xml:space="preserve"> </w:t>
            </w:r>
            <w:r w:rsidRPr="00C46EAC">
              <w:rPr>
                <w:rFonts w:asciiTheme="majorBidi" w:eastAsia="Calibri" w:hAnsiTheme="majorBidi" w:cstheme="majorBidi"/>
                <w:sz w:val="20"/>
                <w:szCs w:val="20"/>
                <w:lang w:val="en"/>
              </w:rPr>
              <w:t>infection</w:t>
            </w:r>
            <w:r w:rsidR="00F14FE2" w:rsidRPr="00C46EAC">
              <w:rPr>
                <w:rFonts w:asciiTheme="majorBidi" w:hAnsiTheme="majorBidi" w:cstheme="majorBidi"/>
                <w:sz w:val="24"/>
                <w:szCs w:val="24"/>
                <w:lang w:val="en"/>
              </w:rPr>
              <w:t xml:space="preserve"> </w:t>
            </w:r>
            <w:r w:rsidR="00F14FE2" w:rsidRPr="00C46EAC">
              <w:rPr>
                <w:rFonts w:asciiTheme="majorBidi" w:eastAsia="Calibri" w:hAnsiTheme="majorBidi" w:cstheme="majorBidi"/>
                <w:sz w:val="20"/>
                <w:szCs w:val="20"/>
                <w:lang w:val="en"/>
              </w:rPr>
              <w:t>vs</w:t>
            </w:r>
            <w:r w:rsidR="00C46EAC">
              <w:rPr>
                <w:rFonts w:asciiTheme="majorBidi" w:eastAsia="Calibri" w:hAnsiTheme="majorBidi" w:cstheme="majorBidi"/>
                <w:sz w:val="20"/>
                <w:szCs w:val="20"/>
                <w:lang w:val="en"/>
              </w:rPr>
              <w:t xml:space="preserve"> </w:t>
            </w:r>
            <w:r w:rsidR="00F14FE2" w:rsidRPr="00C46EAC">
              <w:rPr>
                <w:rFonts w:asciiTheme="majorBidi" w:eastAsia="Calibri" w:hAnsiTheme="majorBidi" w:cstheme="majorBidi"/>
                <w:sz w:val="20"/>
                <w:szCs w:val="20"/>
                <w:lang w:val="en"/>
              </w:rPr>
              <w:t xml:space="preserve">Control </w:t>
            </w:r>
          </w:p>
        </w:tc>
        <w:tc>
          <w:tcPr>
            <w:tcW w:w="709" w:type="dxa"/>
            <w:shd w:val="clear" w:color="auto" w:fill="D5DCE4" w:themeFill="text2" w:themeFillTint="33"/>
          </w:tcPr>
          <w:p w14:paraId="0AA0C4C0" w14:textId="2C5A7E2E" w:rsidR="009F333B" w:rsidRPr="009F333B" w:rsidRDefault="009F333B" w:rsidP="009F333B">
            <w:pPr>
              <w:spacing w:line="276" w:lineRule="auto"/>
              <w:jc w:val="center"/>
              <w:rPr>
                <w:rFonts w:asciiTheme="majorBidi" w:eastAsia="Calibri" w:hAnsiTheme="majorBidi" w:cstheme="majorBidi"/>
                <w:sz w:val="20"/>
                <w:szCs w:val="20"/>
                <w:lang w:val="en"/>
              </w:rPr>
            </w:pPr>
            <w:r w:rsidRPr="009F333B">
              <w:rPr>
                <w:rFonts w:asciiTheme="majorBidi" w:hAnsiTheme="majorBidi" w:cstheme="majorBidi"/>
                <w:sz w:val="20"/>
                <w:szCs w:val="20"/>
                <w:lang w:val="en"/>
              </w:rPr>
              <w:t>0.898</w:t>
            </w:r>
          </w:p>
        </w:tc>
        <w:tc>
          <w:tcPr>
            <w:tcW w:w="709" w:type="dxa"/>
            <w:shd w:val="clear" w:color="auto" w:fill="D5DCE4" w:themeFill="text2" w:themeFillTint="33"/>
          </w:tcPr>
          <w:p w14:paraId="54A8A43C" w14:textId="0AD442B8" w:rsidR="009F333B" w:rsidRPr="009F333B" w:rsidRDefault="009F333B" w:rsidP="009F333B">
            <w:pPr>
              <w:spacing w:line="276" w:lineRule="auto"/>
              <w:jc w:val="center"/>
              <w:rPr>
                <w:rFonts w:asciiTheme="majorBidi" w:eastAsia="Calibri" w:hAnsiTheme="majorBidi" w:cstheme="majorBidi"/>
                <w:sz w:val="20"/>
                <w:szCs w:val="20"/>
                <w:lang w:val="en"/>
              </w:rPr>
            </w:pPr>
            <w:r w:rsidRPr="009F333B">
              <w:rPr>
                <w:rFonts w:asciiTheme="majorBidi" w:hAnsiTheme="majorBidi" w:cstheme="majorBidi"/>
                <w:sz w:val="20"/>
                <w:szCs w:val="20"/>
                <w:lang w:val="en"/>
              </w:rPr>
              <w:t>0.051</w:t>
            </w:r>
          </w:p>
        </w:tc>
        <w:tc>
          <w:tcPr>
            <w:tcW w:w="1417" w:type="dxa"/>
            <w:shd w:val="clear" w:color="auto" w:fill="D5DCE4" w:themeFill="text2" w:themeFillTint="33"/>
          </w:tcPr>
          <w:p w14:paraId="64B16B42" w14:textId="0C103C21" w:rsidR="009F333B" w:rsidRPr="009F333B" w:rsidRDefault="009F333B" w:rsidP="009F333B">
            <w:pPr>
              <w:spacing w:line="276" w:lineRule="auto"/>
              <w:jc w:val="center"/>
              <w:rPr>
                <w:rFonts w:asciiTheme="majorBidi" w:eastAsia="Calibri" w:hAnsiTheme="majorBidi" w:cstheme="majorBidi"/>
                <w:sz w:val="20"/>
                <w:szCs w:val="20"/>
                <w:lang w:val="en"/>
              </w:rPr>
            </w:pPr>
            <w:r w:rsidRPr="009F333B">
              <w:rPr>
                <w:rFonts w:asciiTheme="majorBidi" w:hAnsiTheme="majorBidi" w:cstheme="majorBidi"/>
                <w:sz w:val="20"/>
                <w:szCs w:val="20"/>
                <w:lang w:val="en"/>
              </w:rPr>
              <w:t>0.792 to 0.961</w:t>
            </w:r>
          </w:p>
        </w:tc>
        <w:tc>
          <w:tcPr>
            <w:tcW w:w="992" w:type="dxa"/>
            <w:shd w:val="clear" w:color="auto" w:fill="D5DCE4" w:themeFill="text2" w:themeFillTint="33"/>
          </w:tcPr>
          <w:p w14:paraId="056CBE8A" w14:textId="65DF62B3" w:rsidR="009F333B" w:rsidRPr="009F333B" w:rsidRDefault="009F333B" w:rsidP="009F333B">
            <w:pPr>
              <w:spacing w:line="276" w:lineRule="auto"/>
              <w:jc w:val="center"/>
              <w:rPr>
                <w:rFonts w:asciiTheme="majorBidi" w:eastAsia="Calibri" w:hAnsiTheme="majorBidi" w:cstheme="majorBidi"/>
                <w:sz w:val="20"/>
                <w:szCs w:val="20"/>
                <w:lang w:val="en"/>
              </w:rPr>
            </w:pPr>
            <w:r w:rsidRPr="009F333B">
              <w:rPr>
                <w:rFonts w:asciiTheme="majorBidi" w:hAnsiTheme="majorBidi" w:cstheme="majorBidi"/>
                <w:sz w:val="20"/>
                <w:szCs w:val="20"/>
                <w:lang w:val="en"/>
              </w:rPr>
              <w:t>&gt;283.563</w:t>
            </w:r>
          </w:p>
        </w:tc>
        <w:tc>
          <w:tcPr>
            <w:tcW w:w="567" w:type="dxa"/>
            <w:shd w:val="clear" w:color="auto" w:fill="D5DCE4" w:themeFill="text2" w:themeFillTint="33"/>
          </w:tcPr>
          <w:p w14:paraId="37D65567" w14:textId="45DA6D61" w:rsidR="009F333B" w:rsidRPr="009F333B" w:rsidRDefault="009F333B" w:rsidP="009F333B">
            <w:pPr>
              <w:spacing w:line="276" w:lineRule="auto"/>
              <w:jc w:val="center"/>
              <w:rPr>
                <w:rFonts w:asciiTheme="majorBidi" w:eastAsia="Calibri" w:hAnsiTheme="majorBidi" w:cstheme="majorBidi"/>
                <w:sz w:val="20"/>
                <w:szCs w:val="20"/>
                <w:lang w:val="en"/>
              </w:rPr>
            </w:pPr>
            <w:r w:rsidRPr="009F333B">
              <w:rPr>
                <w:rFonts w:asciiTheme="majorBidi" w:hAnsiTheme="majorBidi" w:cstheme="majorBidi"/>
                <w:sz w:val="20"/>
                <w:szCs w:val="20"/>
                <w:lang w:val="en"/>
              </w:rPr>
              <w:t>92</w:t>
            </w:r>
          </w:p>
        </w:tc>
        <w:tc>
          <w:tcPr>
            <w:tcW w:w="567" w:type="dxa"/>
            <w:shd w:val="clear" w:color="auto" w:fill="D5DCE4" w:themeFill="text2" w:themeFillTint="33"/>
          </w:tcPr>
          <w:p w14:paraId="34971CC5" w14:textId="67A301D8" w:rsidR="009F333B" w:rsidRPr="009F333B" w:rsidRDefault="009F333B" w:rsidP="009F333B">
            <w:pPr>
              <w:spacing w:line="276" w:lineRule="auto"/>
              <w:jc w:val="center"/>
              <w:rPr>
                <w:rFonts w:asciiTheme="majorBidi" w:eastAsia="Calibri" w:hAnsiTheme="majorBidi" w:cstheme="majorBidi"/>
                <w:sz w:val="20"/>
                <w:szCs w:val="20"/>
                <w:lang w:val="en"/>
              </w:rPr>
            </w:pPr>
            <w:r w:rsidRPr="009F333B">
              <w:rPr>
                <w:rFonts w:asciiTheme="majorBidi" w:hAnsiTheme="majorBidi" w:cstheme="majorBidi"/>
                <w:sz w:val="20"/>
                <w:szCs w:val="20"/>
                <w:lang w:val="en"/>
              </w:rPr>
              <w:t>80</w:t>
            </w:r>
          </w:p>
        </w:tc>
        <w:tc>
          <w:tcPr>
            <w:tcW w:w="993" w:type="dxa"/>
            <w:shd w:val="clear" w:color="auto" w:fill="D5DCE4" w:themeFill="text2" w:themeFillTint="33"/>
          </w:tcPr>
          <w:p w14:paraId="24378EEE" w14:textId="738AB2FA" w:rsidR="009F333B" w:rsidRPr="009F333B" w:rsidRDefault="009F333B" w:rsidP="009F333B">
            <w:pPr>
              <w:spacing w:line="276" w:lineRule="auto"/>
              <w:jc w:val="center"/>
              <w:rPr>
                <w:rFonts w:asciiTheme="majorBidi" w:eastAsia="Calibri" w:hAnsiTheme="majorBidi" w:cstheme="majorBidi"/>
                <w:sz w:val="20"/>
                <w:szCs w:val="20"/>
                <w:lang w:val="en"/>
              </w:rPr>
            </w:pPr>
            <w:r w:rsidRPr="009F333B">
              <w:rPr>
                <w:rFonts w:asciiTheme="majorBidi" w:hAnsiTheme="majorBidi" w:cstheme="majorBidi"/>
                <w:sz w:val="20"/>
                <w:szCs w:val="20"/>
                <w:lang w:val="en"/>
              </w:rPr>
              <w:t>&lt;0.0001</w:t>
            </w:r>
          </w:p>
        </w:tc>
      </w:tr>
    </w:tbl>
    <w:bookmarkEnd w:id="17"/>
    <w:p w14:paraId="3C1F31A1" w14:textId="6EC83B8F" w:rsidR="00BA60D7" w:rsidRPr="003C2993" w:rsidRDefault="00BA60D7" w:rsidP="00114CF0">
      <w:pPr>
        <w:spacing w:after="0" w:line="276" w:lineRule="auto"/>
        <w:ind w:right="-58"/>
        <w:jc w:val="both"/>
        <w:rPr>
          <w:rFonts w:asciiTheme="majorBidi" w:eastAsia="Calibri" w:hAnsiTheme="majorBidi" w:cstheme="majorBidi"/>
          <w:sz w:val="20"/>
          <w:szCs w:val="20"/>
        </w:rPr>
      </w:pPr>
      <w:r w:rsidRPr="00BA60D7">
        <w:rPr>
          <w:rFonts w:asciiTheme="majorBidi" w:eastAsia="Calibri" w:hAnsiTheme="majorBidi" w:cstheme="majorBidi"/>
          <w:sz w:val="20"/>
          <w:szCs w:val="20"/>
          <w:vertAlign w:val="superscript"/>
          <w:lang w:val="en"/>
        </w:rPr>
        <w:t>a</w:t>
      </w:r>
      <w:r w:rsidRPr="00BA60D7">
        <w:rPr>
          <w:rFonts w:asciiTheme="majorBidi" w:eastAsia="Calibri" w:hAnsiTheme="majorBidi" w:cstheme="majorBidi"/>
          <w:sz w:val="20"/>
          <w:szCs w:val="20"/>
          <w:lang w:val="en"/>
        </w:rPr>
        <w:t xml:space="preserve">: DeLong </w:t>
      </w:r>
      <w:r w:rsidRPr="00BA60D7">
        <w:rPr>
          <w:rFonts w:asciiTheme="majorBidi" w:eastAsia="Calibri" w:hAnsiTheme="majorBidi" w:cstheme="majorBidi"/>
          <w:i/>
          <w:iCs/>
          <w:sz w:val="20"/>
          <w:szCs w:val="20"/>
          <w:lang w:val="en"/>
        </w:rPr>
        <w:t>et al</w:t>
      </w:r>
      <w:r w:rsidRPr="00BA60D7">
        <w:rPr>
          <w:rFonts w:asciiTheme="majorBidi" w:eastAsia="Calibri" w:hAnsiTheme="majorBidi" w:cstheme="majorBidi"/>
          <w:sz w:val="20"/>
          <w:szCs w:val="20"/>
          <w:lang w:val="en"/>
        </w:rPr>
        <w:t>., 1988,</w:t>
      </w:r>
      <w:r w:rsidRPr="00BA60D7">
        <w:rPr>
          <w:rFonts w:asciiTheme="majorBidi" w:eastAsia="Calibri" w:hAnsiTheme="majorBidi" w:cstheme="majorBidi"/>
          <w:sz w:val="20"/>
          <w:szCs w:val="20"/>
          <w:vertAlign w:val="superscript"/>
          <w:lang w:val="en"/>
        </w:rPr>
        <w:t xml:space="preserve"> b</w:t>
      </w:r>
      <w:r w:rsidRPr="00BA60D7">
        <w:rPr>
          <w:rFonts w:asciiTheme="majorBidi" w:eastAsia="Calibri" w:hAnsiTheme="majorBidi" w:cstheme="majorBidi"/>
          <w:sz w:val="20"/>
          <w:szCs w:val="20"/>
          <w:lang w:val="en"/>
        </w:rPr>
        <w:t xml:space="preserve">: Binomial exact, AUC: area under curve, Se: standard error, </w:t>
      </w:r>
      <w:bookmarkStart w:id="18" w:name="_Hlk99509728"/>
      <w:r w:rsidRPr="00BA60D7">
        <w:rPr>
          <w:rFonts w:asciiTheme="majorBidi" w:eastAsia="Calibri" w:hAnsiTheme="majorBidi" w:cstheme="majorBidi"/>
          <w:sz w:val="20"/>
          <w:szCs w:val="20"/>
          <w:lang w:val="en"/>
        </w:rPr>
        <w:t xml:space="preserve">Se: Sensitivity, </w:t>
      </w:r>
      <w:proofErr w:type="spellStart"/>
      <w:r w:rsidRPr="00BA60D7">
        <w:rPr>
          <w:rFonts w:asciiTheme="majorBidi" w:eastAsia="Calibri" w:hAnsiTheme="majorBidi" w:cstheme="majorBidi"/>
          <w:sz w:val="20"/>
          <w:szCs w:val="20"/>
          <w:lang w:val="en"/>
        </w:rPr>
        <w:t>Sp</w:t>
      </w:r>
      <w:proofErr w:type="spellEnd"/>
      <w:r w:rsidRPr="00BA60D7">
        <w:rPr>
          <w:rFonts w:asciiTheme="majorBidi" w:eastAsia="Calibri" w:hAnsiTheme="majorBidi" w:cstheme="majorBidi"/>
          <w:sz w:val="20"/>
          <w:szCs w:val="20"/>
          <w:lang w:val="en"/>
        </w:rPr>
        <w:t>: Specificity</w:t>
      </w:r>
      <w:bookmarkEnd w:id="18"/>
      <w:r w:rsidRPr="00BA60D7">
        <w:rPr>
          <w:rFonts w:asciiTheme="majorBidi" w:eastAsia="Calibri" w:hAnsiTheme="majorBidi" w:cstheme="majorBidi"/>
          <w:sz w:val="20"/>
          <w:szCs w:val="20"/>
          <w:lang w:val="en"/>
        </w:rPr>
        <w:t xml:space="preserve">, </w:t>
      </w:r>
      <w:r w:rsidRPr="00BA60D7">
        <w:rPr>
          <w:rFonts w:asciiTheme="majorBidi" w:eastAsia="Calibri" w:hAnsiTheme="majorBidi" w:cstheme="majorBidi"/>
          <w:i/>
          <w:iCs/>
          <w:sz w:val="20"/>
          <w:szCs w:val="20"/>
          <w:lang w:val="en"/>
        </w:rPr>
        <w:t>P</w:t>
      </w:r>
      <w:r w:rsidRPr="00BA60D7">
        <w:rPr>
          <w:rFonts w:asciiTheme="majorBidi" w:eastAsia="Calibri" w:hAnsiTheme="majorBidi" w:cstheme="majorBidi"/>
          <w:sz w:val="20"/>
          <w:szCs w:val="20"/>
          <w:lang w:val="en"/>
        </w:rPr>
        <w:t xml:space="preserve">: level of </w:t>
      </w:r>
      <w:r w:rsidRPr="00BA60D7">
        <w:rPr>
          <w:rFonts w:asciiTheme="majorBidi" w:eastAsia="Calibri" w:hAnsiTheme="majorBidi" w:cstheme="majorBidi"/>
          <w:i/>
          <w:iCs/>
          <w:sz w:val="20"/>
          <w:szCs w:val="20"/>
          <w:lang w:val="en"/>
        </w:rPr>
        <w:t>P</w:t>
      </w:r>
      <w:r w:rsidRPr="00BA60D7">
        <w:rPr>
          <w:rFonts w:asciiTheme="majorBidi" w:eastAsia="Calibri" w:hAnsiTheme="majorBidi" w:cstheme="majorBidi"/>
          <w:sz w:val="20"/>
          <w:szCs w:val="20"/>
          <w:lang w:val="en"/>
        </w:rPr>
        <w:t xml:space="preserve"> significance (</w:t>
      </w:r>
      <w:r w:rsidRPr="00BA60D7">
        <w:rPr>
          <w:rFonts w:asciiTheme="majorBidi" w:eastAsia="Calibri" w:hAnsiTheme="majorBidi" w:cstheme="majorBidi"/>
          <w:i/>
          <w:iCs/>
          <w:sz w:val="20"/>
          <w:szCs w:val="20"/>
          <w:lang w:val="en"/>
        </w:rPr>
        <w:t>p</w:t>
      </w:r>
      <w:r w:rsidRPr="00BA60D7">
        <w:rPr>
          <w:rFonts w:asciiTheme="majorBidi" w:eastAsia="Calibri" w:hAnsiTheme="majorBidi" w:cstheme="majorBidi"/>
          <w:sz w:val="20"/>
          <w:szCs w:val="20"/>
          <w:lang w:val="en"/>
        </w:rPr>
        <w:t xml:space="preserve"> &lt; 0.05)</w:t>
      </w:r>
    </w:p>
    <w:p w14:paraId="1B8CDA99" w14:textId="462E2906" w:rsidR="003C2993" w:rsidRDefault="003C2993" w:rsidP="003C2993">
      <w:pPr>
        <w:spacing w:after="0" w:line="276" w:lineRule="auto"/>
        <w:jc w:val="both"/>
        <w:rPr>
          <w:rFonts w:asciiTheme="majorBidi" w:eastAsia="Calibri" w:hAnsiTheme="majorBidi" w:cstheme="majorBidi"/>
          <w:b/>
          <w:bCs/>
          <w:sz w:val="24"/>
          <w:szCs w:val="24"/>
          <w:lang w:val="en-GB"/>
        </w:rPr>
      </w:pPr>
    </w:p>
    <w:p w14:paraId="7BAF7DE0" w14:textId="77777777" w:rsidR="00E777FF" w:rsidRPr="00E777FF" w:rsidRDefault="00E777FF" w:rsidP="00E777FF">
      <w:pPr>
        <w:spacing w:after="0" w:line="276" w:lineRule="auto"/>
        <w:jc w:val="center"/>
        <w:rPr>
          <w:rFonts w:ascii="Times New Roman" w:eastAsia="Calibri" w:hAnsi="Times New Roman" w:cs="Times New Roman"/>
          <w:b/>
          <w:bCs/>
          <w:sz w:val="2"/>
          <w:szCs w:val="2"/>
          <w:rtl/>
        </w:rPr>
      </w:pPr>
      <w:r w:rsidRPr="00E777FF">
        <w:rPr>
          <w:rFonts w:ascii="Times New Roman" w:eastAsia="Calibri" w:hAnsi="Times New Roman" w:cs="Times New Roman"/>
          <w:noProof/>
          <w:sz w:val="28"/>
          <w:szCs w:val="28"/>
          <w:bdr w:val="single" w:sz="4" w:space="0" w:color="auto"/>
        </w:rPr>
        <w:lastRenderedPageBreak/>
        <w:drawing>
          <wp:inline distT="0" distB="0" distL="0" distR="0" wp14:anchorId="08F128FA" wp14:editId="5CA20550">
            <wp:extent cx="5285887" cy="27713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308443" cy="2783187"/>
                    </a:xfrm>
                    <a:prstGeom prst="rect">
                      <a:avLst/>
                    </a:prstGeom>
                    <a:noFill/>
                  </pic:spPr>
                </pic:pic>
              </a:graphicData>
            </a:graphic>
          </wp:inline>
        </w:drawing>
      </w:r>
    </w:p>
    <w:p w14:paraId="73E89608" w14:textId="524D547F" w:rsidR="00114CF0" w:rsidRDefault="00114CF0" w:rsidP="00E777FF">
      <w:pPr>
        <w:spacing w:after="0" w:line="276" w:lineRule="auto"/>
        <w:rPr>
          <w:rFonts w:ascii="Times New Roman" w:eastAsia="Calibri" w:hAnsi="Times New Roman" w:cs="Times New Roman"/>
          <w:sz w:val="20"/>
          <w:szCs w:val="20"/>
          <w:lang w:val="en"/>
        </w:rPr>
      </w:pPr>
      <w:r w:rsidRPr="00B279CB">
        <w:rPr>
          <w:rFonts w:ascii="Times New Roman" w:eastAsia="Calibri" w:hAnsi="Times New Roman" w:cs="Times New Roman"/>
          <w:b/>
          <w:bCs/>
          <w:sz w:val="20"/>
          <w:szCs w:val="20"/>
          <w:lang w:val="en"/>
        </w:rPr>
        <w:t>Figure</w:t>
      </w:r>
      <w:r w:rsidR="00B279CB" w:rsidRPr="00B279CB">
        <w:rPr>
          <w:rFonts w:ascii="Times New Roman" w:eastAsia="Calibri" w:hAnsi="Times New Roman" w:cs="Times New Roman"/>
          <w:b/>
          <w:bCs/>
          <w:sz w:val="20"/>
          <w:szCs w:val="20"/>
          <w:lang w:val="en"/>
        </w:rPr>
        <w:t xml:space="preserve"> </w:t>
      </w:r>
      <w:r w:rsidRPr="00B279CB">
        <w:rPr>
          <w:rFonts w:ascii="Times New Roman" w:eastAsia="Calibri" w:hAnsi="Times New Roman" w:cs="Times New Roman"/>
          <w:b/>
          <w:bCs/>
          <w:sz w:val="20"/>
          <w:szCs w:val="20"/>
          <w:lang w:val="en"/>
        </w:rPr>
        <w:t>2:</w:t>
      </w:r>
      <w:r w:rsidRPr="00114CF0">
        <w:rPr>
          <w:rFonts w:ascii="Times New Roman" w:eastAsia="Calibri" w:hAnsi="Times New Roman" w:cs="Times New Roman"/>
          <w:sz w:val="20"/>
          <w:szCs w:val="20"/>
          <w:lang w:val="en"/>
        </w:rPr>
        <w:t xml:space="preserve"> Plot of ROC curve analysis</w:t>
      </w:r>
      <w:r>
        <w:rPr>
          <w:rFonts w:ascii="Times New Roman" w:eastAsia="Calibri" w:hAnsi="Times New Roman" w:cs="Times New Roman"/>
          <w:sz w:val="20"/>
          <w:szCs w:val="20"/>
          <w:lang w:val="en"/>
        </w:rPr>
        <w:t xml:space="preserve"> of </w:t>
      </w:r>
      <w:r w:rsidRPr="00114CF0">
        <w:rPr>
          <w:rFonts w:ascii="Times New Roman" w:eastAsia="Calibri" w:hAnsi="Times New Roman" w:cs="Times New Roman"/>
          <w:sz w:val="20"/>
          <w:szCs w:val="20"/>
          <w:lang w:val="en"/>
        </w:rPr>
        <w:t>YKL-40</w:t>
      </w:r>
      <w:r w:rsidRPr="00FC3387">
        <w:rPr>
          <w:rFonts w:ascii="Times New Roman" w:eastAsia="Calibri" w:hAnsi="Times New Roman" w:cs="Times New Roman"/>
          <w:sz w:val="20"/>
          <w:szCs w:val="20"/>
          <w:lang w:val="en"/>
        </w:rPr>
        <w:t>.</w:t>
      </w:r>
      <w:r w:rsidR="00CC2050" w:rsidRPr="00FC3387">
        <w:rPr>
          <w:rFonts w:ascii="Times New Roman" w:eastAsia="Calibri" w:hAnsi="Times New Roman" w:cs="Times New Roman"/>
          <w:sz w:val="20"/>
          <w:szCs w:val="20"/>
          <w:lang w:val="en"/>
        </w:rPr>
        <w:t xml:space="preserve"> a: </w:t>
      </w:r>
      <w:r w:rsidR="00FC3387">
        <w:rPr>
          <w:rFonts w:ascii="Times New Roman" w:eastAsia="Calibri" w:hAnsi="Times New Roman" w:cs="Times New Roman"/>
          <w:sz w:val="20"/>
          <w:szCs w:val="20"/>
          <w:lang w:val="en"/>
        </w:rPr>
        <w:t>identify</w:t>
      </w:r>
      <w:r w:rsidR="00CD3885" w:rsidRPr="00FC3387">
        <w:rPr>
          <w:rFonts w:ascii="Times New Roman" w:eastAsia="Calibri" w:hAnsi="Times New Roman" w:cs="Times New Roman"/>
          <w:sz w:val="20"/>
          <w:szCs w:val="20"/>
          <w:lang w:val="en"/>
        </w:rPr>
        <w:t xml:space="preserve"> acute toxoplasmosis patients from healthy control</w:t>
      </w:r>
      <w:r w:rsidR="00CC2050" w:rsidRPr="00FC3387">
        <w:rPr>
          <w:rFonts w:ascii="Times New Roman" w:eastAsia="Calibri" w:hAnsi="Times New Roman" w:cs="Times New Roman"/>
          <w:sz w:val="20"/>
          <w:szCs w:val="20"/>
          <w:lang w:val="en"/>
        </w:rPr>
        <w:t xml:space="preserve">, b: </w:t>
      </w:r>
      <w:r w:rsidR="00FC3387">
        <w:rPr>
          <w:rFonts w:ascii="Times New Roman" w:eastAsia="Calibri" w:hAnsi="Times New Roman" w:cs="Times New Roman"/>
          <w:sz w:val="20"/>
          <w:szCs w:val="20"/>
          <w:lang w:val="en"/>
        </w:rPr>
        <w:t>identify</w:t>
      </w:r>
      <w:r w:rsidR="00FC3387" w:rsidRPr="00FC3387">
        <w:rPr>
          <w:rFonts w:ascii="Times New Roman" w:eastAsia="Calibri" w:hAnsi="Times New Roman" w:cs="Times New Roman"/>
          <w:sz w:val="20"/>
          <w:szCs w:val="20"/>
          <w:lang w:val="en"/>
        </w:rPr>
        <w:t xml:space="preserve"> </w:t>
      </w:r>
      <w:r w:rsidR="00CD3885" w:rsidRPr="00FC3387">
        <w:rPr>
          <w:rFonts w:ascii="Times New Roman" w:eastAsia="Calibri" w:hAnsi="Times New Roman" w:cs="Times New Roman"/>
          <w:sz w:val="20"/>
          <w:szCs w:val="20"/>
          <w:lang w:val="en"/>
        </w:rPr>
        <w:t>chronic toxoplasmosis patients from healthy control.</w:t>
      </w:r>
    </w:p>
    <w:p w14:paraId="0B346E20" w14:textId="7571826F" w:rsidR="00114CF0" w:rsidRDefault="00114CF0" w:rsidP="00114CF0">
      <w:pPr>
        <w:spacing w:after="0" w:line="276" w:lineRule="auto"/>
        <w:ind w:left="1276"/>
        <w:jc w:val="both"/>
        <w:rPr>
          <w:rFonts w:ascii="Times New Roman" w:eastAsia="Calibri" w:hAnsi="Times New Roman" w:cs="Times New Roman"/>
          <w:sz w:val="20"/>
          <w:szCs w:val="20"/>
          <w:lang w:val="en"/>
        </w:rPr>
      </w:pPr>
    </w:p>
    <w:p w14:paraId="67480AED" w14:textId="7BBD444F" w:rsidR="00114CF0" w:rsidRPr="003C2993" w:rsidRDefault="00114CF0" w:rsidP="00FF4764">
      <w:pPr>
        <w:spacing w:after="0" w:line="276" w:lineRule="auto"/>
        <w:jc w:val="center"/>
        <w:rPr>
          <w:rFonts w:asciiTheme="majorBidi" w:eastAsia="Calibri" w:hAnsiTheme="majorBidi" w:cstheme="majorBidi"/>
          <w:b/>
          <w:bCs/>
          <w:sz w:val="20"/>
          <w:szCs w:val="20"/>
          <w:lang w:val="en-GB"/>
        </w:rPr>
      </w:pPr>
    </w:p>
    <w:p w14:paraId="50DCE5C4" w14:textId="77777777" w:rsidR="00211A58" w:rsidRDefault="005A75C3" w:rsidP="00211A58">
      <w:pPr>
        <w:spacing w:after="0" w:line="276" w:lineRule="auto"/>
        <w:jc w:val="both"/>
        <w:rPr>
          <w:rFonts w:asciiTheme="majorBidi" w:eastAsia="Calibri" w:hAnsiTheme="majorBidi" w:cstheme="majorBidi"/>
          <w:b/>
          <w:bCs/>
          <w:sz w:val="24"/>
          <w:szCs w:val="24"/>
        </w:rPr>
      </w:pPr>
      <w:r w:rsidRPr="005A75C3">
        <w:rPr>
          <w:rFonts w:asciiTheme="majorBidi" w:eastAsia="Calibri" w:hAnsiTheme="majorBidi" w:cstheme="majorBidi"/>
          <w:b/>
          <w:bCs/>
          <w:sz w:val="24"/>
          <w:szCs w:val="24"/>
        </w:rPr>
        <w:t>Discussion</w:t>
      </w:r>
    </w:p>
    <w:p w14:paraId="57952D37" w14:textId="4C8B0E50" w:rsidR="005A75C3" w:rsidRDefault="00211A58" w:rsidP="008202CE">
      <w:pPr>
        <w:spacing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8202CE" w:rsidRPr="008202CE">
        <w:rPr>
          <w:rFonts w:asciiTheme="majorBidi" w:eastAsia="Calibri" w:hAnsiTheme="majorBidi" w:cstheme="majorBidi"/>
          <w:sz w:val="24"/>
          <w:szCs w:val="24"/>
        </w:rPr>
        <w:t>In the current study, the first step performed after the collection of serum samples was a confirmatory investigation to the immunoglobulin status of the basic two types of anti-</w:t>
      </w:r>
      <w:r w:rsidR="008202CE" w:rsidRPr="008202CE">
        <w:rPr>
          <w:rFonts w:asciiTheme="majorBidi" w:eastAsia="Calibri" w:hAnsiTheme="majorBidi" w:cstheme="majorBidi"/>
          <w:i/>
          <w:iCs/>
          <w:sz w:val="24"/>
          <w:szCs w:val="24"/>
        </w:rPr>
        <w:t>Toxoplasma</w:t>
      </w:r>
      <w:r w:rsidR="008202CE" w:rsidRPr="008202CE">
        <w:rPr>
          <w:rFonts w:asciiTheme="majorBidi" w:eastAsia="Calibri" w:hAnsiTheme="majorBidi" w:cstheme="majorBidi"/>
          <w:sz w:val="24"/>
          <w:szCs w:val="24"/>
        </w:rPr>
        <w:t> antibodies, IgM and IgG, in the patients and control sera. The cause of this step was to ensure the presence of the infection with toxoplasmosis, and for the patients’ group, to ensure whether they have acute or chronic toxoplasmosis to distribute the patients</w:t>
      </w:r>
      <w:r w:rsidR="008202CE">
        <w:rPr>
          <w:rFonts w:asciiTheme="majorBidi" w:eastAsia="Calibri" w:hAnsiTheme="majorBidi" w:cstheme="majorBidi"/>
          <w:sz w:val="24"/>
          <w:szCs w:val="24"/>
        </w:rPr>
        <w:t>’</w:t>
      </w:r>
      <w:r w:rsidR="008202CE" w:rsidRPr="008202CE">
        <w:rPr>
          <w:rFonts w:asciiTheme="majorBidi" w:eastAsia="Calibri" w:hAnsiTheme="majorBidi" w:cstheme="majorBidi"/>
          <w:sz w:val="24"/>
          <w:szCs w:val="24"/>
        </w:rPr>
        <w:t xml:space="preserve"> samples into two groups for the later work, where the levels of the specific anti-</w:t>
      </w:r>
      <w:r w:rsidR="008202CE" w:rsidRPr="008202CE">
        <w:rPr>
          <w:rFonts w:asciiTheme="majorBidi" w:eastAsia="Calibri" w:hAnsiTheme="majorBidi" w:cstheme="majorBidi"/>
          <w:i/>
          <w:iCs/>
          <w:sz w:val="24"/>
          <w:szCs w:val="24"/>
        </w:rPr>
        <w:t>Toxoplasma</w:t>
      </w:r>
      <w:r w:rsidR="008202CE" w:rsidRPr="008202CE">
        <w:rPr>
          <w:rFonts w:asciiTheme="majorBidi" w:eastAsia="Calibri" w:hAnsiTheme="majorBidi" w:cstheme="majorBidi"/>
          <w:sz w:val="24"/>
          <w:szCs w:val="24"/>
        </w:rPr>
        <w:t> IgM and IgG antibodies adopted for this purpose. The statistical analysis of the recorded levels of both types of immunoglobulin reached that the levels of the IgM were higher in the patients previously diagnosed with acute infection. Whereas the IgG levels were higher in the patients previously diagnosed with a chronic disease, which is similar to the finding of the other previous studies [</w:t>
      </w:r>
      <w:r w:rsidR="00F04DDB">
        <w:rPr>
          <w:rFonts w:asciiTheme="majorBidi" w:eastAsia="Calibri" w:hAnsiTheme="majorBidi" w:cstheme="majorBidi"/>
          <w:sz w:val="24"/>
          <w:szCs w:val="24"/>
        </w:rPr>
        <w:t>45</w:t>
      </w:r>
      <w:r w:rsidR="008202CE" w:rsidRPr="008202CE">
        <w:rPr>
          <w:rFonts w:asciiTheme="majorBidi" w:eastAsia="Calibri" w:hAnsiTheme="majorBidi" w:cstheme="majorBidi"/>
          <w:sz w:val="24"/>
          <w:szCs w:val="24"/>
        </w:rPr>
        <w:t>-</w:t>
      </w:r>
      <w:r w:rsidR="00F04DDB">
        <w:rPr>
          <w:rFonts w:asciiTheme="majorBidi" w:eastAsia="Calibri" w:hAnsiTheme="majorBidi" w:cstheme="majorBidi"/>
          <w:sz w:val="24"/>
          <w:szCs w:val="24"/>
        </w:rPr>
        <w:t>50</w:t>
      </w:r>
      <w:r w:rsidR="008202CE" w:rsidRPr="008202CE">
        <w:rPr>
          <w:rFonts w:asciiTheme="majorBidi" w:eastAsia="Calibri" w:hAnsiTheme="majorBidi" w:cstheme="majorBidi"/>
          <w:sz w:val="24"/>
          <w:szCs w:val="24"/>
        </w:rPr>
        <w:t>].</w:t>
      </w:r>
    </w:p>
    <w:p w14:paraId="30BF3750" w14:textId="476DB9EE" w:rsidR="00A21816" w:rsidRDefault="00A21816" w:rsidP="00A21816">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Concerning the YKL-40, t</w:t>
      </w:r>
      <w:r w:rsidRPr="003C2993">
        <w:rPr>
          <w:rFonts w:asciiTheme="majorBidi" w:eastAsia="Calibri" w:hAnsiTheme="majorBidi" w:cstheme="majorBidi"/>
          <w:sz w:val="24"/>
          <w:szCs w:val="24"/>
        </w:rPr>
        <w:t>o our best knowledge, the relationship between the level of the YKL-40 and toxoplasmosis, and between this protein and the phase of the disease (acute or chronic) has been studied for the first time globally in the present study.</w:t>
      </w:r>
      <w:r w:rsidRPr="00A21816">
        <w:rPr>
          <w:rFonts w:asciiTheme="majorBidi" w:eastAsia="Calibri" w:hAnsiTheme="majorBidi" w:cstheme="majorBidi"/>
          <w:sz w:val="24"/>
          <w:szCs w:val="24"/>
        </w:rPr>
        <w:t xml:space="preserve"> </w:t>
      </w:r>
      <w:r w:rsidRPr="003C2993">
        <w:rPr>
          <w:rFonts w:asciiTheme="majorBidi" w:eastAsia="Calibri" w:hAnsiTheme="majorBidi" w:cstheme="majorBidi"/>
          <w:sz w:val="24"/>
          <w:szCs w:val="24"/>
        </w:rPr>
        <w:t>Although there is no previous evidence proven that the YKL-40 is expressed at significant levels in toxoplasmosis to the extent that can be used in the detection of the disease, there is no doubt that an increased level of this protein may highly possibly be secreted during the infection, and, these levels may be in a proportional trend with the severity of the disease. This assumption is based on the previously observed data about the parasite development and pathogenicity, which recorded that the parasite induces acute inflammatory responses in the infected tissues and encysts in the muscular and neural tissues. On the other hand, previous studies have documented the major role of YKL-40 in the inflammatory reactions, tissue injuries, remodeling and repair [4</w:t>
      </w:r>
      <w:r w:rsidR="00F04DDB">
        <w:rPr>
          <w:rFonts w:asciiTheme="majorBidi" w:eastAsia="Calibri" w:hAnsiTheme="majorBidi" w:cstheme="majorBidi"/>
          <w:sz w:val="24"/>
          <w:szCs w:val="24"/>
        </w:rPr>
        <w:t>3</w:t>
      </w:r>
      <w:r w:rsidRPr="003C2993">
        <w:rPr>
          <w:rFonts w:asciiTheme="majorBidi" w:eastAsia="Calibri" w:hAnsiTheme="majorBidi" w:cstheme="majorBidi"/>
          <w:sz w:val="24"/>
          <w:szCs w:val="24"/>
        </w:rPr>
        <w:t>,51,52], and polarization of Th2 [4</w:t>
      </w:r>
      <w:r w:rsidR="00F04DDB">
        <w:rPr>
          <w:rFonts w:asciiTheme="majorBidi" w:eastAsia="Calibri" w:hAnsiTheme="majorBidi" w:cstheme="majorBidi"/>
          <w:sz w:val="24"/>
          <w:szCs w:val="24"/>
        </w:rPr>
        <w:t>0</w:t>
      </w:r>
      <w:r w:rsidRPr="003C2993">
        <w:rPr>
          <w:rFonts w:asciiTheme="majorBidi" w:eastAsia="Calibri" w:hAnsiTheme="majorBidi" w:cstheme="majorBidi"/>
          <w:sz w:val="24"/>
          <w:szCs w:val="24"/>
        </w:rPr>
        <w:t>,</w:t>
      </w:r>
      <w:r w:rsidR="00F04DDB">
        <w:rPr>
          <w:rFonts w:asciiTheme="majorBidi" w:eastAsia="Calibri" w:hAnsiTheme="majorBidi" w:cstheme="majorBidi"/>
          <w:sz w:val="24"/>
          <w:szCs w:val="24"/>
        </w:rPr>
        <w:t>53</w:t>
      </w:r>
      <w:r w:rsidRPr="003C2993">
        <w:rPr>
          <w:rFonts w:asciiTheme="majorBidi" w:eastAsia="Calibri" w:hAnsiTheme="majorBidi" w:cstheme="majorBidi"/>
          <w:sz w:val="24"/>
          <w:szCs w:val="24"/>
        </w:rPr>
        <w:t>,5</w:t>
      </w:r>
      <w:r w:rsidR="00F04DDB">
        <w:rPr>
          <w:rFonts w:asciiTheme="majorBidi" w:eastAsia="Calibri" w:hAnsiTheme="majorBidi" w:cstheme="majorBidi"/>
          <w:sz w:val="24"/>
          <w:szCs w:val="24"/>
        </w:rPr>
        <w:t>4</w:t>
      </w:r>
      <w:r w:rsidRPr="003C2993">
        <w:rPr>
          <w:rFonts w:asciiTheme="majorBidi" w:eastAsia="Calibri" w:hAnsiTheme="majorBidi" w:cstheme="majorBidi"/>
          <w:sz w:val="24"/>
          <w:szCs w:val="24"/>
        </w:rPr>
        <w:t>], which are all from the induced changes</w:t>
      </w:r>
      <w:r w:rsidR="000C7B30" w:rsidRPr="000C7B30">
        <w:t xml:space="preserve"> </w:t>
      </w:r>
      <w:r w:rsidR="000C7B30" w:rsidRPr="000C7B30">
        <w:rPr>
          <w:rFonts w:asciiTheme="majorBidi" w:eastAsia="Calibri" w:hAnsiTheme="majorBidi" w:cstheme="majorBidi"/>
          <w:sz w:val="24"/>
          <w:szCs w:val="24"/>
        </w:rPr>
        <w:lastRenderedPageBreak/>
        <w:t>and mechanisms</w:t>
      </w:r>
      <w:r w:rsidRPr="003C2993">
        <w:rPr>
          <w:rFonts w:asciiTheme="majorBidi" w:eastAsia="Calibri" w:hAnsiTheme="majorBidi" w:cstheme="majorBidi"/>
          <w:sz w:val="24"/>
          <w:szCs w:val="24"/>
        </w:rPr>
        <w:t xml:space="preserve"> during the infection and the conflict against the parasite invasion. In addition, as variety of cells, including the macrophage, neutrophils, smooth muscle cells and fibroblast-like cells, are known to secrete the YKL-40 [4</w:t>
      </w:r>
      <w:r w:rsidR="00F04DDB">
        <w:rPr>
          <w:rFonts w:asciiTheme="majorBidi" w:eastAsia="Calibri" w:hAnsiTheme="majorBidi" w:cstheme="majorBidi"/>
          <w:sz w:val="24"/>
          <w:szCs w:val="24"/>
        </w:rPr>
        <w:t>0</w:t>
      </w:r>
      <w:r w:rsidRPr="003C2993">
        <w:rPr>
          <w:rFonts w:asciiTheme="majorBidi" w:eastAsia="Calibri" w:hAnsiTheme="majorBidi" w:cstheme="majorBidi"/>
          <w:sz w:val="24"/>
          <w:szCs w:val="24"/>
        </w:rPr>
        <w:t>,4</w:t>
      </w:r>
      <w:r w:rsidR="00CE01A6">
        <w:rPr>
          <w:rFonts w:asciiTheme="majorBidi" w:eastAsia="Calibri" w:hAnsiTheme="majorBidi" w:cstheme="majorBidi"/>
          <w:sz w:val="24"/>
          <w:szCs w:val="24"/>
        </w:rPr>
        <w:t>1</w:t>
      </w:r>
      <w:r w:rsidRPr="003C2993">
        <w:rPr>
          <w:rFonts w:asciiTheme="majorBidi" w:eastAsia="Calibri" w:hAnsiTheme="majorBidi" w:cstheme="majorBidi"/>
          <w:sz w:val="24"/>
          <w:szCs w:val="24"/>
        </w:rPr>
        <w:t>,5</w:t>
      </w:r>
      <w:r w:rsidR="00CE01A6">
        <w:rPr>
          <w:rFonts w:asciiTheme="majorBidi" w:eastAsia="Calibri" w:hAnsiTheme="majorBidi" w:cstheme="majorBidi"/>
          <w:sz w:val="24"/>
          <w:szCs w:val="24"/>
        </w:rPr>
        <w:t>5</w:t>
      </w:r>
      <w:r w:rsidRPr="003C2993">
        <w:rPr>
          <w:rFonts w:asciiTheme="majorBidi" w:eastAsia="Calibri" w:hAnsiTheme="majorBidi" w:cstheme="majorBidi"/>
          <w:sz w:val="24"/>
          <w:szCs w:val="24"/>
        </w:rPr>
        <w:t>,5</w:t>
      </w:r>
      <w:r w:rsidR="00CE01A6">
        <w:rPr>
          <w:rFonts w:asciiTheme="majorBidi" w:eastAsia="Calibri" w:hAnsiTheme="majorBidi" w:cstheme="majorBidi"/>
          <w:sz w:val="24"/>
          <w:szCs w:val="24"/>
        </w:rPr>
        <w:t>6</w:t>
      </w:r>
      <w:r w:rsidRPr="003C2993">
        <w:rPr>
          <w:rFonts w:asciiTheme="majorBidi" w:eastAsia="Calibri" w:hAnsiTheme="majorBidi" w:cstheme="majorBidi"/>
          <w:sz w:val="24"/>
          <w:szCs w:val="24"/>
        </w:rPr>
        <w:t>] and essentially engaged in the parasite fighting and immune response [5</w:t>
      </w:r>
      <w:r w:rsidR="00CE01A6">
        <w:rPr>
          <w:rFonts w:asciiTheme="majorBidi" w:eastAsia="Calibri" w:hAnsiTheme="majorBidi" w:cstheme="majorBidi"/>
          <w:sz w:val="24"/>
          <w:szCs w:val="24"/>
        </w:rPr>
        <w:t>7</w:t>
      </w:r>
      <w:r w:rsidRPr="003C2993">
        <w:rPr>
          <w:rFonts w:asciiTheme="majorBidi" w:eastAsia="Calibri" w:hAnsiTheme="majorBidi" w:cstheme="majorBidi"/>
          <w:sz w:val="24"/>
          <w:szCs w:val="24"/>
        </w:rPr>
        <w:t>,5</w:t>
      </w:r>
      <w:r w:rsidR="00CE01A6">
        <w:rPr>
          <w:rFonts w:asciiTheme="majorBidi" w:eastAsia="Calibri" w:hAnsiTheme="majorBidi" w:cstheme="majorBidi"/>
          <w:sz w:val="24"/>
          <w:szCs w:val="24"/>
        </w:rPr>
        <w:t>8</w:t>
      </w:r>
      <w:r w:rsidRPr="003C2993">
        <w:rPr>
          <w:rFonts w:asciiTheme="majorBidi" w:eastAsia="Calibri" w:hAnsiTheme="majorBidi" w:cstheme="majorBidi"/>
          <w:sz w:val="24"/>
          <w:szCs w:val="24"/>
        </w:rPr>
        <w:t>], it has been expected that excessive secretion of this protein may be associated with the immune response against the infection with this parasite.</w:t>
      </w:r>
    </w:p>
    <w:p w14:paraId="6D52953A" w14:textId="3E075146" w:rsidR="00930ABD" w:rsidRDefault="00917510" w:rsidP="00930ABD">
      <w:pPr>
        <w:spacing w:before="240"/>
        <w:jc w:val="both"/>
        <w:rPr>
          <w:rFonts w:asciiTheme="majorBidi" w:hAnsiTheme="majorBidi" w:cstheme="majorBidi"/>
          <w:sz w:val="24"/>
          <w:szCs w:val="24"/>
        </w:rPr>
      </w:pPr>
      <w:r w:rsidRPr="00917510">
        <w:rPr>
          <w:rFonts w:asciiTheme="majorBidi" w:eastAsia="Calibri" w:hAnsiTheme="majorBidi" w:cstheme="majorBidi"/>
          <w:sz w:val="24"/>
          <w:szCs w:val="24"/>
        </w:rPr>
        <w:t xml:space="preserve">     Interestingly, the statistical analysis disclosed very highly significantly different levels of YKL-40 found in toxoplasmic patients compared with the controls, and very highly significantly different levels were also observed between the two groups of patients with much higher levels in the acute infection group. Based on the pairwise comparisons between the pairs: Acute-Chronic, Acute-Control and Chronic-Control, it can be said that the YKL-40 has a sophisticated role in the differentiation between the infected and non-infected subjects on the one hand and between the acute and chronic infection on the other hand.</w:t>
      </w:r>
      <w:r w:rsidR="00930ABD">
        <w:rPr>
          <w:rFonts w:asciiTheme="majorBidi" w:hAnsiTheme="majorBidi" w:cstheme="majorBidi"/>
          <w:sz w:val="24"/>
          <w:szCs w:val="24"/>
        </w:rPr>
        <w:t xml:space="preserve"> </w:t>
      </w:r>
    </w:p>
    <w:p w14:paraId="7B080ADE" w14:textId="7B51AA6E" w:rsidR="005A75C3" w:rsidRDefault="00930ABD" w:rsidP="00F0157B">
      <w:pPr>
        <w:spacing w:before="240" w:line="276" w:lineRule="auto"/>
        <w:jc w:val="both"/>
        <w:rPr>
          <w:rFonts w:asciiTheme="majorBidi" w:eastAsia="Calibri" w:hAnsiTheme="majorBidi" w:cstheme="majorBidi"/>
          <w:b/>
          <w:bCs/>
          <w:sz w:val="24"/>
          <w:szCs w:val="24"/>
          <w:lang w:val="en-GB"/>
        </w:rPr>
      </w:pPr>
      <w:r>
        <w:rPr>
          <w:rFonts w:asciiTheme="majorBidi" w:hAnsiTheme="majorBidi" w:cstheme="majorBidi"/>
          <w:sz w:val="24"/>
          <w:szCs w:val="24"/>
        </w:rPr>
        <w:t xml:space="preserve">     </w:t>
      </w:r>
      <w:r w:rsidR="00F0157B" w:rsidRPr="00F0157B">
        <w:rPr>
          <w:rFonts w:asciiTheme="majorBidi" w:eastAsia="Calibri" w:hAnsiTheme="majorBidi" w:cstheme="majorBidi"/>
          <w:sz w:val="24"/>
          <w:szCs w:val="24"/>
        </w:rPr>
        <w:t>Yet, the final evaluation to estimate the sensitivity and specificity of the cut-off value of the YKL-40 at which the patients are considered infected with acute or chronic toxoplasmosis was performed, by comparing the ROC curve and the AUC between the acute toxoplasmic patients and healthy controls elucidated that YKL-40 is an excellent parameter. Accordingly, its sensitivity is 100, and its specificity is 100. Therefore, the YKL-40 can be considered a very highly sensitive biomarker in the detection of the acute toxoplasmosis. On the other hand, comparing the ROC curve and functional AUC between the chronic toxoplasmic patients and healthy controls elucidated that YKL-40 is nearly excellent parameter. Accordingly, the sensitivity was 92, and the specificity was 80. Therefore, the YKL-40 can also be considered a very highly sensitive biomarker in detecting the chronic toxoplasmosis.</w:t>
      </w:r>
    </w:p>
    <w:p w14:paraId="0712C286" w14:textId="77777777" w:rsidR="008D12AB" w:rsidRDefault="008D12AB" w:rsidP="003C2993">
      <w:pPr>
        <w:spacing w:after="0" w:line="276" w:lineRule="auto"/>
        <w:jc w:val="both"/>
        <w:rPr>
          <w:rFonts w:asciiTheme="majorBidi" w:eastAsia="Calibri" w:hAnsiTheme="majorBidi" w:cstheme="majorBidi"/>
          <w:b/>
          <w:bCs/>
          <w:sz w:val="24"/>
          <w:szCs w:val="24"/>
          <w:lang w:val="en-GB"/>
        </w:rPr>
      </w:pPr>
    </w:p>
    <w:p w14:paraId="05AAD0D0" w14:textId="5E0BD5B7" w:rsidR="003C2993" w:rsidRPr="003C2993" w:rsidRDefault="00824ED6" w:rsidP="003C2993">
      <w:pPr>
        <w:spacing w:after="0" w:line="276" w:lineRule="auto"/>
        <w:jc w:val="both"/>
        <w:rPr>
          <w:rFonts w:asciiTheme="majorBidi" w:eastAsia="Calibri" w:hAnsiTheme="majorBidi" w:cstheme="majorBidi"/>
          <w:b/>
          <w:bCs/>
          <w:sz w:val="24"/>
          <w:szCs w:val="24"/>
          <w:lang w:val="en-GB"/>
        </w:rPr>
      </w:pPr>
      <w:r w:rsidRPr="003C2993">
        <w:rPr>
          <w:rFonts w:asciiTheme="majorBidi" w:eastAsia="Calibri" w:hAnsiTheme="majorBidi" w:cstheme="majorBidi"/>
          <w:b/>
          <w:bCs/>
          <w:sz w:val="24"/>
          <w:szCs w:val="24"/>
          <w:lang w:val="en-GB"/>
        </w:rPr>
        <w:t>Conclusions</w:t>
      </w:r>
    </w:p>
    <w:p w14:paraId="05197C01" w14:textId="1CE7848A" w:rsidR="003C2993" w:rsidRPr="003C2993" w:rsidRDefault="00824ED6" w:rsidP="003C2993">
      <w:pPr>
        <w:spacing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3C2993" w:rsidRPr="003C2993">
        <w:rPr>
          <w:rFonts w:asciiTheme="majorBidi" w:eastAsia="Calibri" w:hAnsiTheme="majorBidi" w:cstheme="majorBidi"/>
          <w:sz w:val="24"/>
          <w:szCs w:val="24"/>
        </w:rPr>
        <w:t xml:space="preserve">The highly sensitivity and specificity observed in YKL-40 in this study classify the </w:t>
      </w:r>
      <w:r w:rsidR="00C25B53">
        <w:rPr>
          <w:rFonts w:asciiTheme="majorBidi" w:eastAsia="Calibri" w:hAnsiTheme="majorBidi" w:cstheme="majorBidi"/>
          <w:sz w:val="24"/>
          <w:szCs w:val="24"/>
        </w:rPr>
        <w:t>protein</w:t>
      </w:r>
      <w:r w:rsidR="003C2993" w:rsidRPr="003C2993">
        <w:rPr>
          <w:rFonts w:asciiTheme="majorBidi" w:eastAsia="Calibri" w:hAnsiTheme="majorBidi" w:cstheme="majorBidi"/>
          <w:sz w:val="24"/>
          <w:szCs w:val="24"/>
        </w:rPr>
        <w:t xml:space="preserve"> as a unique biomarker in the detection of toxoplasmosis. Additionally, the significantly different levels of YKL-40 between the groups of acute and chronic infection render the YKL-40 a sophisticated biomarker that can vitally be used to detect the phase of the disease whether acute or chronic, beside its ability to detect the infection.</w:t>
      </w:r>
    </w:p>
    <w:p w14:paraId="3DB6EDEF" w14:textId="77777777" w:rsidR="003C2993" w:rsidRPr="003C2993" w:rsidRDefault="003C2993" w:rsidP="003C2993">
      <w:pPr>
        <w:spacing w:after="0" w:line="276" w:lineRule="auto"/>
        <w:jc w:val="both"/>
        <w:rPr>
          <w:rFonts w:asciiTheme="majorBidi" w:eastAsia="Calibri" w:hAnsiTheme="majorBidi" w:cstheme="majorBidi"/>
          <w:sz w:val="24"/>
          <w:szCs w:val="24"/>
        </w:rPr>
      </w:pPr>
    </w:p>
    <w:p w14:paraId="2DD2ACD0" w14:textId="3C3B11DB" w:rsidR="003C2993" w:rsidRPr="003C2993" w:rsidRDefault="00824ED6" w:rsidP="003C2993">
      <w:pPr>
        <w:spacing w:after="0" w:line="276" w:lineRule="auto"/>
        <w:jc w:val="both"/>
        <w:rPr>
          <w:rFonts w:asciiTheme="majorBidi" w:eastAsia="Calibri" w:hAnsiTheme="majorBidi" w:cstheme="majorBidi"/>
          <w:b/>
          <w:bCs/>
          <w:sz w:val="24"/>
          <w:szCs w:val="24"/>
          <w:lang w:val="en-GB"/>
        </w:rPr>
      </w:pPr>
      <w:r w:rsidRPr="003C2993">
        <w:rPr>
          <w:rFonts w:asciiTheme="majorBidi" w:eastAsia="Calibri" w:hAnsiTheme="majorBidi" w:cstheme="majorBidi"/>
          <w:b/>
          <w:bCs/>
          <w:sz w:val="24"/>
          <w:szCs w:val="24"/>
          <w:lang w:val="en-GB"/>
        </w:rPr>
        <w:t>Acknowledgments</w:t>
      </w:r>
    </w:p>
    <w:p w14:paraId="063C69E1" w14:textId="51A8FF3C" w:rsidR="003C2993" w:rsidRDefault="00824ED6" w:rsidP="00FB695B">
      <w:pPr>
        <w:spacing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3C2993" w:rsidRPr="003C2993">
        <w:rPr>
          <w:rFonts w:asciiTheme="majorBidi" w:eastAsia="Calibri" w:hAnsiTheme="majorBidi" w:cstheme="majorBidi"/>
          <w:sz w:val="24"/>
          <w:szCs w:val="24"/>
        </w:rPr>
        <w:t>The authors would like to thank the University of Mustansiriyah-College of Pharmacy for the provided support.</w:t>
      </w:r>
    </w:p>
    <w:p w14:paraId="5B54947C" w14:textId="56D14445" w:rsidR="00F0157B" w:rsidRDefault="00F0157B" w:rsidP="00FB695B">
      <w:pPr>
        <w:spacing w:after="0" w:line="276" w:lineRule="auto"/>
        <w:jc w:val="both"/>
        <w:rPr>
          <w:rFonts w:asciiTheme="majorBidi" w:eastAsia="Calibri" w:hAnsiTheme="majorBidi" w:cstheme="majorBidi"/>
          <w:sz w:val="24"/>
          <w:szCs w:val="24"/>
        </w:rPr>
      </w:pPr>
    </w:p>
    <w:p w14:paraId="09272026" w14:textId="77777777" w:rsidR="000F7BF0" w:rsidRPr="003C2993" w:rsidRDefault="000F7BF0" w:rsidP="000F7BF0">
      <w:pPr>
        <w:spacing w:after="0" w:line="276" w:lineRule="auto"/>
        <w:jc w:val="both"/>
        <w:rPr>
          <w:rFonts w:asciiTheme="majorBidi" w:eastAsia="Calibri" w:hAnsiTheme="majorBidi" w:cstheme="majorBidi"/>
          <w:sz w:val="24"/>
          <w:szCs w:val="24"/>
          <w:lang w:val="en-GB"/>
        </w:rPr>
      </w:pPr>
    </w:p>
    <w:p w14:paraId="2442D3EE" w14:textId="77777777" w:rsidR="00491887" w:rsidRDefault="00491887" w:rsidP="00491887">
      <w:pPr>
        <w:jc w:val="both"/>
        <w:rPr>
          <w:rFonts w:asciiTheme="majorBidi" w:hAnsiTheme="majorBidi" w:cstheme="majorBidi"/>
          <w:sz w:val="24"/>
          <w:szCs w:val="24"/>
          <w:lang w:bidi="ar-IQ"/>
        </w:rPr>
      </w:pPr>
      <w:r>
        <w:rPr>
          <w:rFonts w:asciiTheme="majorBidi" w:hAnsiTheme="majorBidi" w:cstheme="majorBidi"/>
          <w:sz w:val="24"/>
          <w:szCs w:val="24"/>
          <w:lang w:bidi="ar-IQ"/>
        </w:rPr>
        <w:t xml:space="preserve">I.      Ethical approval: </w:t>
      </w:r>
    </w:p>
    <w:p w14:paraId="32C90649" w14:textId="77777777" w:rsidR="00491887" w:rsidRDefault="00491887" w:rsidP="00491887">
      <w:pPr>
        <w:jc w:val="both"/>
        <w:rPr>
          <w:rFonts w:asciiTheme="majorBidi" w:hAnsiTheme="majorBidi" w:cstheme="majorBidi"/>
          <w:sz w:val="24"/>
          <w:szCs w:val="24"/>
          <w:lang w:bidi="ar-IQ"/>
        </w:rPr>
      </w:pPr>
      <w:r>
        <w:rPr>
          <w:rFonts w:asciiTheme="majorBidi" w:hAnsiTheme="majorBidi" w:cstheme="majorBidi"/>
          <w:sz w:val="24"/>
          <w:szCs w:val="24"/>
          <w:lang w:bidi="ar-IQ"/>
        </w:rPr>
        <w:lastRenderedPageBreak/>
        <w:t xml:space="preserve">The manuscript is written in original and all the data, results pertaining to this manuscript are original  according to the research performed. The authors followed academic integrity and have not copied any content/results from another source. </w:t>
      </w:r>
    </w:p>
    <w:p w14:paraId="6502FA88" w14:textId="77777777" w:rsidR="00491887" w:rsidRDefault="00491887" w:rsidP="00491887">
      <w:pPr>
        <w:jc w:val="both"/>
        <w:rPr>
          <w:rFonts w:asciiTheme="majorBidi" w:hAnsiTheme="majorBidi" w:cstheme="majorBidi"/>
          <w:sz w:val="24"/>
          <w:szCs w:val="24"/>
          <w:lang w:bidi="ar-IQ"/>
        </w:rPr>
      </w:pPr>
      <w:r>
        <w:rPr>
          <w:rFonts w:asciiTheme="majorBidi" w:hAnsiTheme="majorBidi" w:cstheme="majorBidi"/>
          <w:sz w:val="24"/>
          <w:szCs w:val="24"/>
          <w:lang w:bidi="ar-IQ"/>
        </w:rPr>
        <w:t xml:space="preserve">II.     Funding details (In case of Funding): </w:t>
      </w:r>
    </w:p>
    <w:p w14:paraId="3E520F58" w14:textId="77777777" w:rsidR="00491887" w:rsidRDefault="00491887" w:rsidP="00491887">
      <w:pPr>
        <w:jc w:val="both"/>
        <w:rPr>
          <w:rFonts w:asciiTheme="majorBidi" w:hAnsiTheme="majorBidi" w:cstheme="majorBidi"/>
          <w:sz w:val="24"/>
          <w:szCs w:val="24"/>
          <w:lang w:bidi="ar-IQ"/>
        </w:rPr>
      </w:pPr>
      <w:r>
        <w:rPr>
          <w:rFonts w:asciiTheme="majorBidi" w:hAnsiTheme="majorBidi" w:cstheme="majorBidi"/>
          <w:sz w:val="24"/>
          <w:szCs w:val="24"/>
          <w:lang w:bidi="ar-IQ"/>
        </w:rPr>
        <w:t xml:space="preserve">The authors of this manuscript did not receive any funding to perform the present research </w:t>
      </w:r>
    </w:p>
    <w:p w14:paraId="6D2377EF" w14:textId="77777777" w:rsidR="00491887" w:rsidRDefault="00491887" w:rsidP="00491887">
      <w:pPr>
        <w:jc w:val="both"/>
        <w:rPr>
          <w:rFonts w:asciiTheme="majorBidi" w:hAnsiTheme="majorBidi" w:cstheme="majorBidi"/>
          <w:sz w:val="24"/>
          <w:szCs w:val="24"/>
          <w:lang w:bidi="ar-IQ"/>
        </w:rPr>
      </w:pPr>
    </w:p>
    <w:p w14:paraId="04BD0B48" w14:textId="77777777" w:rsidR="00491887" w:rsidRDefault="00491887" w:rsidP="00491887">
      <w:pPr>
        <w:jc w:val="both"/>
        <w:rPr>
          <w:rFonts w:asciiTheme="majorBidi" w:hAnsiTheme="majorBidi" w:cstheme="majorBidi"/>
          <w:sz w:val="24"/>
          <w:szCs w:val="24"/>
          <w:lang w:bidi="ar-IQ"/>
        </w:rPr>
      </w:pPr>
      <w:r>
        <w:rPr>
          <w:rFonts w:asciiTheme="majorBidi" w:hAnsiTheme="majorBidi" w:cstheme="majorBidi"/>
          <w:sz w:val="24"/>
          <w:szCs w:val="24"/>
          <w:lang w:bidi="ar-IQ"/>
        </w:rPr>
        <w:t>III.    Conflict of interest</w:t>
      </w:r>
    </w:p>
    <w:p w14:paraId="63667B95" w14:textId="77777777" w:rsidR="00491887" w:rsidRDefault="00491887" w:rsidP="00491887">
      <w:pPr>
        <w:jc w:val="both"/>
        <w:rPr>
          <w:rFonts w:asciiTheme="majorBidi" w:hAnsiTheme="majorBidi" w:cstheme="majorBidi"/>
          <w:sz w:val="24"/>
          <w:szCs w:val="24"/>
          <w:lang w:bidi="ar-IQ"/>
        </w:rPr>
      </w:pPr>
      <w:r>
        <w:rPr>
          <w:rFonts w:asciiTheme="majorBidi" w:hAnsiTheme="majorBidi" w:cstheme="majorBidi"/>
          <w:sz w:val="24"/>
          <w:szCs w:val="24"/>
          <w:lang w:bidi="ar-IQ"/>
        </w:rPr>
        <w:t xml:space="preserve">The authors of the study do not have any conflict of interest </w:t>
      </w:r>
    </w:p>
    <w:p w14:paraId="6D9FE655" w14:textId="77777777" w:rsidR="00491887" w:rsidRDefault="00491887" w:rsidP="00491887">
      <w:pPr>
        <w:jc w:val="both"/>
        <w:rPr>
          <w:rFonts w:asciiTheme="majorBidi" w:hAnsiTheme="majorBidi" w:cstheme="majorBidi"/>
          <w:sz w:val="24"/>
          <w:szCs w:val="24"/>
          <w:lang w:bidi="ar-IQ"/>
        </w:rPr>
      </w:pPr>
    </w:p>
    <w:p w14:paraId="2A54379A" w14:textId="77777777" w:rsidR="00491887" w:rsidRDefault="00491887" w:rsidP="00491887">
      <w:pPr>
        <w:jc w:val="both"/>
        <w:rPr>
          <w:rFonts w:asciiTheme="majorBidi" w:hAnsiTheme="majorBidi" w:cstheme="majorBidi"/>
          <w:sz w:val="24"/>
          <w:szCs w:val="24"/>
          <w:lang w:bidi="ar-IQ"/>
        </w:rPr>
      </w:pPr>
      <w:r>
        <w:rPr>
          <w:rFonts w:asciiTheme="majorBidi" w:hAnsiTheme="majorBidi" w:cstheme="majorBidi"/>
          <w:sz w:val="24"/>
          <w:szCs w:val="24"/>
          <w:lang w:bidi="ar-IQ"/>
        </w:rPr>
        <w:t>IV.     Informed Consent:</w:t>
      </w:r>
    </w:p>
    <w:p w14:paraId="7BE5D7FF" w14:textId="77777777" w:rsidR="00491887" w:rsidRDefault="00491887" w:rsidP="00491887">
      <w:pPr>
        <w:jc w:val="both"/>
        <w:rPr>
          <w:rFonts w:asciiTheme="majorBidi" w:hAnsiTheme="majorBidi" w:cstheme="majorBidi"/>
          <w:sz w:val="24"/>
          <w:szCs w:val="24"/>
          <w:lang w:bidi="ar-IQ"/>
        </w:rPr>
      </w:pPr>
      <w:r>
        <w:rPr>
          <w:rFonts w:asciiTheme="majorBidi" w:hAnsiTheme="majorBidi" w:cstheme="majorBidi"/>
          <w:sz w:val="24"/>
          <w:szCs w:val="24"/>
          <w:lang w:bidi="ar-IQ"/>
        </w:rPr>
        <w:t>The authors of the manuscript agrees to publish this research in the journal if it’s considerable by the editors of the journal. The authors provide full consent for reviewing and publishing this manuscript.</w:t>
      </w:r>
    </w:p>
    <w:p w14:paraId="3B9C55A9" w14:textId="77777777" w:rsidR="00491887" w:rsidRDefault="00491887" w:rsidP="00491887">
      <w:pPr>
        <w:jc w:val="both"/>
        <w:rPr>
          <w:rFonts w:asciiTheme="majorBidi" w:hAnsiTheme="majorBidi" w:cstheme="majorBidi"/>
          <w:sz w:val="24"/>
          <w:szCs w:val="24"/>
          <w:lang w:bidi="ar-IQ"/>
        </w:rPr>
      </w:pPr>
      <w:r>
        <w:rPr>
          <w:rFonts w:asciiTheme="majorBidi" w:hAnsiTheme="majorBidi" w:cstheme="majorBidi"/>
          <w:sz w:val="24"/>
          <w:szCs w:val="24"/>
          <w:lang w:bidi="ar-IQ"/>
        </w:rPr>
        <w:t>V. All the authors of this study contributed equally in terms of performing the research as well as in preparing the manuscript. All the authors of the study followed the guidelines of the corresponding author. Any query/suggestion related to the manuscript can be reached to the corresponding author</w:t>
      </w:r>
    </w:p>
    <w:p w14:paraId="56B686B2" w14:textId="77777777" w:rsidR="003C2993" w:rsidRPr="003C2993" w:rsidRDefault="003C2993" w:rsidP="003C2993">
      <w:pPr>
        <w:spacing w:after="0" w:line="276" w:lineRule="auto"/>
        <w:jc w:val="both"/>
        <w:rPr>
          <w:rFonts w:asciiTheme="majorBidi" w:eastAsia="Calibri" w:hAnsiTheme="majorBidi" w:cstheme="majorBidi"/>
          <w:b/>
          <w:bCs/>
          <w:sz w:val="24"/>
          <w:szCs w:val="24"/>
          <w:rtl/>
          <w:lang w:bidi="ar-IQ"/>
        </w:rPr>
      </w:pPr>
    </w:p>
    <w:p w14:paraId="335A5014" w14:textId="53BE185C" w:rsidR="003C2993" w:rsidRPr="003C2993" w:rsidRDefault="00824ED6" w:rsidP="003C2993">
      <w:pPr>
        <w:spacing w:after="0" w:line="276" w:lineRule="auto"/>
        <w:jc w:val="both"/>
        <w:rPr>
          <w:rFonts w:asciiTheme="majorBidi" w:eastAsia="Calibri" w:hAnsiTheme="majorBidi" w:cstheme="majorBidi"/>
          <w:b/>
          <w:bCs/>
          <w:sz w:val="24"/>
          <w:szCs w:val="24"/>
        </w:rPr>
      </w:pPr>
      <w:r w:rsidRPr="003C2993">
        <w:rPr>
          <w:rFonts w:asciiTheme="majorBidi" w:eastAsia="Calibri" w:hAnsiTheme="majorBidi" w:cstheme="majorBidi"/>
          <w:b/>
          <w:bCs/>
          <w:sz w:val="24"/>
          <w:szCs w:val="24"/>
        </w:rPr>
        <w:t>References</w:t>
      </w:r>
    </w:p>
    <w:p w14:paraId="2ABEDAF2" w14:textId="77777777" w:rsidR="003C2993" w:rsidRPr="003C2993" w:rsidRDefault="003C2993" w:rsidP="00FB695B">
      <w:pPr>
        <w:spacing w:after="0" w:line="276" w:lineRule="auto"/>
        <w:jc w:val="both"/>
        <w:rPr>
          <w:rFonts w:asciiTheme="majorBidi" w:eastAsia="Calibri" w:hAnsiTheme="majorBidi" w:cstheme="majorBidi"/>
          <w:sz w:val="24"/>
          <w:szCs w:val="24"/>
        </w:rPr>
      </w:pPr>
      <w:r w:rsidRPr="003C2993">
        <w:rPr>
          <w:rFonts w:asciiTheme="majorBidi" w:eastAsia="Calibri" w:hAnsiTheme="majorBidi" w:cstheme="majorBidi"/>
          <w:sz w:val="24"/>
          <w:szCs w:val="24"/>
        </w:rPr>
        <w:t xml:space="preserve">1. Smith NC, Goulart C, Hayward JA, </w:t>
      </w:r>
      <w:proofErr w:type="spellStart"/>
      <w:r w:rsidRPr="003C2993">
        <w:rPr>
          <w:rFonts w:asciiTheme="majorBidi" w:eastAsia="Calibri" w:hAnsiTheme="majorBidi" w:cstheme="majorBidi"/>
          <w:sz w:val="24"/>
          <w:szCs w:val="24"/>
        </w:rPr>
        <w:t>Kupz</w:t>
      </w:r>
      <w:proofErr w:type="spellEnd"/>
      <w:r w:rsidRPr="003C2993">
        <w:rPr>
          <w:rFonts w:asciiTheme="majorBidi" w:eastAsia="Calibri" w:hAnsiTheme="majorBidi" w:cstheme="majorBidi"/>
          <w:sz w:val="24"/>
          <w:szCs w:val="24"/>
        </w:rPr>
        <w:t xml:space="preserve"> A, Miller CM, van </w:t>
      </w:r>
      <w:proofErr w:type="spellStart"/>
      <w:r w:rsidRPr="003C2993">
        <w:rPr>
          <w:rFonts w:asciiTheme="majorBidi" w:eastAsia="Calibri" w:hAnsiTheme="majorBidi" w:cstheme="majorBidi"/>
          <w:sz w:val="24"/>
          <w:szCs w:val="24"/>
        </w:rPr>
        <w:t>Dooren</w:t>
      </w:r>
      <w:proofErr w:type="spellEnd"/>
      <w:r w:rsidRPr="003C2993">
        <w:rPr>
          <w:rFonts w:asciiTheme="majorBidi" w:eastAsia="Calibri" w:hAnsiTheme="majorBidi" w:cstheme="majorBidi"/>
          <w:sz w:val="24"/>
          <w:szCs w:val="24"/>
        </w:rPr>
        <w:t xml:space="preserve"> </w:t>
      </w:r>
      <w:proofErr w:type="spellStart"/>
      <w:r w:rsidRPr="003C2993">
        <w:rPr>
          <w:rFonts w:asciiTheme="majorBidi" w:eastAsia="Calibri" w:hAnsiTheme="majorBidi" w:cstheme="majorBidi"/>
          <w:sz w:val="24"/>
          <w:szCs w:val="24"/>
        </w:rPr>
        <w:t>GCJIjfp</w:t>
      </w:r>
      <w:proofErr w:type="spellEnd"/>
      <w:r w:rsidRPr="003C2993">
        <w:rPr>
          <w:rFonts w:asciiTheme="majorBidi" w:eastAsia="Calibri" w:hAnsiTheme="majorBidi" w:cstheme="majorBidi"/>
          <w:sz w:val="24"/>
          <w:szCs w:val="24"/>
        </w:rPr>
        <w:t>. Control of human toxoplasmosis. 2021;51:95-121.</w:t>
      </w:r>
    </w:p>
    <w:p w14:paraId="76E23AEC" w14:textId="77777777" w:rsidR="003C2993" w:rsidRPr="003C2993" w:rsidRDefault="003C2993" w:rsidP="00A91D60">
      <w:pPr>
        <w:spacing w:before="240" w:after="0" w:line="276" w:lineRule="auto"/>
        <w:jc w:val="both"/>
        <w:rPr>
          <w:rFonts w:asciiTheme="majorBidi" w:eastAsia="Calibri" w:hAnsiTheme="majorBidi" w:cstheme="majorBidi"/>
          <w:sz w:val="24"/>
          <w:szCs w:val="24"/>
        </w:rPr>
      </w:pPr>
      <w:r w:rsidRPr="003C2993">
        <w:rPr>
          <w:rFonts w:asciiTheme="majorBidi" w:eastAsia="Calibri" w:hAnsiTheme="majorBidi" w:cstheme="majorBidi"/>
          <w:sz w:val="24"/>
          <w:szCs w:val="24"/>
        </w:rPr>
        <w:t>2. Pérez‐</w:t>
      </w:r>
      <w:proofErr w:type="spellStart"/>
      <w:r w:rsidRPr="003C2993">
        <w:rPr>
          <w:rFonts w:asciiTheme="majorBidi" w:eastAsia="Calibri" w:hAnsiTheme="majorBidi" w:cstheme="majorBidi"/>
          <w:sz w:val="24"/>
          <w:szCs w:val="24"/>
        </w:rPr>
        <w:t>Grisales</w:t>
      </w:r>
      <w:proofErr w:type="spellEnd"/>
      <w:r w:rsidRPr="003C2993">
        <w:rPr>
          <w:rFonts w:asciiTheme="majorBidi" w:eastAsia="Calibri" w:hAnsiTheme="majorBidi" w:cstheme="majorBidi"/>
          <w:sz w:val="24"/>
          <w:szCs w:val="24"/>
        </w:rPr>
        <w:t xml:space="preserve"> LJ, Cruz‐Moncada M, </w:t>
      </w:r>
      <w:proofErr w:type="spellStart"/>
      <w:r w:rsidRPr="003C2993">
        <w:rPr>
          <w:rFonts w:asciiTheme="majorBidi" w:eastAsia="Calibri" w:hAnsiTheme="majorBidi" w:cstheme="majorBidi"/>
          <w:sz w:val="24"/>
          <w:szCs w:val="24"/>
        </w:rPr>
        <w:t>Peláez</w:t>
      </w:r>
      <w:proofErr w:type="spellEnd"/>
      <w:r w:rsidRPr="003C2993">
        <w:rPr>
          <w:rFonts w:asciiTheme="majorBidi" w:eastAsia="Calibri" w:hAnsiTheme="majorBidi" w:cstheme="majorBidi"/>
          <w:sz w:val="24"/>
          <w:szCs w:val="24"/>
        </w:rPr>
        <w:t>‐Sánchez R, Díaz‐Nieto JFJZ, Health P. Toxoplasma gondii infection in Colombia with a review of hosts and their ecogeographic distribution. 2021;68(1):38-53.</w:t>
      </w:r>
    </w:p>
    <w:p w14:paraId="34E92C75" w14:textId="77777777" w:rsidR="00FA168E" w:rsidRDefault="003C2993" w:rsidP="00FA168E">
      <w:pPr>
        <w:spacing w:before="240" w:after="0" w:line="276" w:lineRule="auto"/>
        <w:jc w:val="both"/>
        <w:rPr>
          <w:rFonts w:asciiTheme="majorBidi" w:eastAsia="Calibri" w:hAnsiTheme="majorBidi" w:cstheme="majorBidi"/>
          <w:sz w:val="24"/>
          <w:szCs w:val="24"/>
          <w:rtl/>
        </w:rPr>
      </w:pPr>
      <w:r w:rsidRPr="003C2993">
        <w:rPr>
          <w:rFonts w:asciiTheme="majorBidi" w:eastAsia="Calibri" w:hAnsiTheme="majorBidi" w:cstheme="majorBidi"/>
          <w:sz w:val="24"/>
          <w:szCs w:val="24"/>
        </w:rPr>
        <w:t xml:space="preserve">3. George C, Jeffery H, </w:t>
      </w:r>
      <w:proofErr w:type="spellStart"/>
      <w:r w:rsidRPr="003C2993">
        <w:rPr>
          <w:rFonts w:asciiTheme="majorBidi" w:eastAsia="Calibri" w:hAnsiTheme="majorBidi" w:cstheme="majorBidi"/>
          <w:sz w:val="24"/>
          <w:szCs w:val="24"/>
        </w:rPr>
        <w:t>Lahra</w:t>
      </w:r>
      <w:proofErr w:type="spellEnd"/>
      <w:r w:rsidRPr="003C2993">
        <w:rPr>
          <w:rFonts w:asciiTheme="majorBidi" w:eastAsia="Calibri" w:hAnsiTheme="majorBidi" w:cstheme="majorBidi"/>
          <w:sz w:val="24"/>
          <w:szCs w:val="24"/>
        </w:rPr>
        <w:t xml:space="preserve"> </w:t>
      </w:r>
      <w:proofErr w:type="spellStart"/>
      <w:r w:rsidRPr="003C2993">
        <w:rPr>
          <w:rFonts w:asciiTheme="majorBidi" w:eastAsia="Calibri" w:hAnsiTheme="majorBidi" w:cstheme="majorBidi"/>
          <w:sz w:val="24"/>
          <w:szCs w:val="24"/>
        </w:rPr>
        <w:t>MJKsF</w:t>
      </w:r>
      <w:proofErr w:type="spellEnd"/>
      <w:r w:rsidRPr="003C2993">
        <w:rPr>
          <w:rFonts w:asciiTheme="majorBidi" w:eastAsia="Calibri" w:hAnsiTheme="majorBidi" w:cstheme="majorBidi"/>
          <w:sz w:val="24"/>
          <w:szCs w:val="24"/>
        </w:rPr>
        <w:t>, Pathology N. Infection of Mother and Baby. 2022:207-45.</w:t>
      </w:r>
    </w:p>
    <w:p w14:paraId="3BBE352D" w14:textId="77777777" w:rsidR="00FA168E" w:rsidRDefault="003C2993" w:rsidP="00FA168E">
      <w:pPr>
        <w:spacing w:before="240" w:after="0" w:line="276" w:lineRule="auto"/>
        <w:jc w:val="both"/>
        <w:rPr>
          <w:rFonts w:asciiTheme="majorBidi" w:eastAsia="Calibri" w:hAnsiTheme="majorBidi" w:cstheme="majorBidi"/>
          <w:sz w:val="24"/>
          <w:szCs w:val="24"/>
        </w:rPr>
      </w:pPr>
      <w:r w:rsidRPr="003C2993">
        <w:rPr>
          <w:rFonts w:asciiTheme="majorBidi" w:eastAsia="Calibri" w:hAnsiTheme="majorBidi" w:cstheme="majorBidi"/>
          <w:sz w:val="24"/>
          <w:szCs w:val="24"/>
        </w:rPr>
        <w:t xml:space="preserve">4. El </w:t>
      </w:r>
      <w:proofErr w:type="spellStart"/>
      <w:r w:rsidRPr="003C2993">
        <w:rPr>
          <w:rFonts w:asciiTheme="majorBidi" w:eastAsia="Calibri" w:hAnsiTheme="majorBidi" w:cstheme="majorBidi"/>
          <w:sz w:val="24"/>
          <w:szCs w:val="24"/>
        </w:rPr>
        <w:t>Bissati</w:t>
      </w:r>
      <w:proofErr w:type="spellEnd"/>
      <w:r w:rsidRPr="003C2993">
        <w:rPr>
          <w:rFonts w:asciiTheme="majorBidi" w:eastAsia="Calibri" w:hAnsiTheme="majorBidi" w:cstheme="majorBidi"/>
          <w:sz w:val="24"/>
          <w:szCs w:val="24"/>
        </w:rPr>
        <w:t xml:space="preserve"> K, </w:t>
      </w:r>
      <w:proofErr w:type="spellStart"/>
      <w:r w:rsidRPr="003C2993">
        <w:rPr>
          <w:rFonts w:asciiTheme="majorBidi" w:eastAsia="Calibri" w:hAnsiTheme="majorBidi" w:cstheme="majorBidi"/>
          <w:sz w:val="24"/>
          <w:szCs w:val="24"/>
        </w:rPr>
        <w:t>Levigne</w:t>
      </w:r>
      <w:proofErr w:type="spellEnd"/>
      <w:r w:rsidRPr="003C2993">
        <w:rPr>
          <w:rFonts w:asciiTheme="majorBidi" w:eastAsia="Calibri" w:hAnsiTheme="majorBidi" w:cstheme="majorBidi"/>
          <w:sz w:val="24"/>
          <w:szCs w:val="24"/>
        </w:rPr>
        <w:t xml:space="preserve"> P, Lykins J, </w:t>
      </w:r>
      <w:proofErr w:type="spellStart"/>
      <w:r w:rsidRPr="003C2993">
        <w:rPr>
          <w:rFonts w:asciiTheme="majorBidi" w:eastAsia="Calibri" w:hAnsiTheme="majorBidi" w:cstheme="majorBidi"/>
          <w:sz w:val="24"/>
          <w:szCs w:val="24"/>
        </w:rPr>
        <w:t>Adlaoui</w:t>
      </w:r>
      <w:proofErr w:type="spellEnd"/>
      <w:r w:rsidRPr="003C2993">
        <w:rPr>
          <w:rFonts w:asciiTheme="majorBidi" w:eastAsia="Calibri" w:hAnsiTheme="majorBidi" w:cstheme="majorBidi"/>
          <w:sz w:val="24"/>
          <w:szCs w:val="24"/>
        </w:rPr>
        <w:t xml:space="preserve"> EB, Barkat A, </w:t>
      </w:r>
      <w:proofErr w:type="spellStart"/>
      <w:r w:rsidRPr="003C2993">
        <w:rPr>
          <w:rFonts w:asciiTheme="majorBidi" w:eastAsia="Calibri" w:hAnsiTheme="majorBidi" w:cstheme="majorBidi"/>
          <w:sz w:val="24"/>
          <w:szCs w:val="24"/>
        </w:rPr>
        <w:t>Berraho</w:t>
      </w:r>
      <w:proofErr w:type="spellEnd"/>
      <w:r w:rsidRPr="003C2993">
        <w:rPr>
          <w:rFonts w:asciiTheme="majorBidi" w:eastAsia="Calibri" w:hAnsiTheme="majorBidi" w:cstheme="majorBidi"/>
          <w:sz w:val="24"/>
          <w:szCs w:val="24"/>
        </w:rPr>
        <w:t xml:space="preserve"> A, et al. Global initiative for congenital toxoplasmosis: an observational and international comparative clinical analysis. 2018;7(1):1-14.</w:t>
      </w:r>
    </w:p>
    <w:p w14:paraId="66B5E9F0" w14:textId="77777777" w:rsidR="00FA168E" w:rsidRDefault="00564469"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5. </w:t>
      </w:r>
      <w:r w:rsidRPr="00564469">
        <w:rPr>
          <w:rFonts w:asciiTheme="majorBidi" w:eastAsia="Calibri" w:hAnsiTheme="majorBidi" w:cstheme="majorBidi"/>
          <w:sz w:val="24"/>
          <w:szCs w:val="24"/>
        </w:rPr>
        <w:t xml:space="preserve">Mero </w:t>
      </w:r>
      <w:proofErr w:type="spellStart"/>
      <w:r w:rsidRPr="00564469">
        <w:rPr>
          <w:rFonts w:asciiTheme="majorBidi" w:eastAsia="Calibri" w:hAnsiTheme="majorBidi" w:cstheme="majorBidi"/>
          <w:sz w:val="24"/>
          <w:szCs w:val="24"/>
        </w:rPr>
        <w:t>WMSJZJoP</w:t>
      </w:r>
      <w:proofErr w:type="spellEnd"/>
      <w:r w:rsidRPr="00564469">
        <w:rPr>
          <w:rFonts w:asciiTheme="majorBidi" w:eastAsia="Calibri" w:hAnsiTheme="majorBidi" w:cstheme="majorBidi"/>
          <w:sz w:val="24"/>
          <w:szCs w:val="24"/>
        </w:rPr>
        <w:t xml:space="preserve">, Sciences A. Seroprevalence of anti-Toxoplasma gondii antibodies among women of childbearing age in </w:t>
      </w:r>
      <w:proofErr w:type="spellStart"/>
      <w:r w:rsidRPr="00564469">
        <w:rPr>
          <w:rFonts w:asciiTheme="majorBidi" w:eastAsia="Calibri" w:hAnsiTheme="majorBidi" w:cstheme="majorBidi"/>
          <w:sz w:val="24"/>
          <w:szCs w:val="24"/>
        </w:rPr>
        <w:t>Zakho</w:t>
      </w:r>
      <w:proofErr w:type="spellEnd"/>
      <w:r w:rsidRPr="00564469">
        <w:rPr>
          <w:rFonts w:asciiTheme="majorBidi" w:eastAsia="Calibri" w:hAnsiTheme="majorBidi" w:cstheme="majorBidi"/>
          <w:sz w:val="24"/>
          <w:szCs w:val="24"/>
        </w:rPr>
        <w:t xml:space="preserve"> City, Kurdistan Region/Iraq. 2020;32(3):75-84.</w:t>
      </w:r>
    </w:p>
    <w:p w14:paraId="3FAD4649" w14:textId="77777777" w:rsidR="00FA168E" w:rsidRDefault="00564469"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6.</w:t>
      </w:r>
      <w:r w:rsidR="00E777FF">
        <w:rPr>
          <w:rFonts w:asciiTheme="majorBidi" w:eastAsia="Calibri" w:hAnsiTheme="majorBidi" w:cstheme="majorBidi"/>
          <w:sz w:val="24"/>
          <w:szCs w:val="24"/>
        </w:rPr>
        <w:t xml:space="preserve"> </w:t>
      </w:r>
      <w:r w:rsidRPr="00564469">
        <w:rPr>
          <w:rFonts w:asciiTheme="majorBidi" w:eastAsia="Calibri" w:hAnsiTheme="majorBidi" w:cstheme="majorBidi"/>
          <w:sz w:val="24"/>
          <w:szCs w:val="24"/>
        </w:rPr>
        <w:t xml:space="preserve">Costa </w:t>
      </w:r>
      <w:proofErr w:type="spellStart"/>
      <w:r w:rsidRPr="00564469">
        <w:rPr>
          <w:rFonts w:asciiTheme="majorBidi" w:eastAsia="Calibri" w:hAnsiTheme="majorBidi" w:cstheme="majorBidi"/>
          <w:sz w:val="24"/>
          <w:szCs w:val="24"/>
        </w:rPr>
        <w:t>MJFGLd</w:t>
      </w:r>
      <w:proofErr w:type="spellEnd"/>
      <w:r w:rsidRPr="00564469">
        <w:rPr>
          <w:rFonts w:asciiTheme="majorBidi" w:eastAsia="Calibri" w:hAnsiTheme="majorBidi" w:cstheme="majorBidi"/>
          <w:sz w:val="24"/>
          <w:szCs w:val="24"/>
        </w:rPr>
        <w:t>. Contribution for the knowledge of toxoplasmosis in Portugal. 2019.</w:t>
      </w:r>
    </w:p>
    <w:p w14:paraId="22C845E1" w14:textId="77777777" w:rsidR="00FA168E" w:rsidRDefault="00564469"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lastRenderedPageBreak/>
        <w:t xml:space="preserve">7. </w:t>
      </w:r>
      <w:r w:rsidRPr="00564469">
        <w:rPr>
          <w:rFonts w:asciiTheme="majorBidi" w:eastAsia="Calibri" w:hAnsiTheme="majorBidi" w:cstheme="majorBidi"/>
          <w:sz w:val="24"/>
          <w:szCs w:val="24"/>
        </w:rPr>
        <w:t>Al-</w:t>
      </w:r>
      <w:proofErr w:type="spellStart"/>
      <w:r w:rsidRPr="00564469">
        <w:rPr>
          <w:rFonts w:asciiTheme="majorBidi" w:eastAsia="Calibri" w:hAnsiTheme="majorBidi" w:cstheme="majorBidi"/>
          <w:sz w:val="24"/>
          <w:szCs w:val="24"/>
        </w:rPr>
        <w:t>Tufaili</w:t>
      </w:r>
      <w:proofErr w:type="spellEnd"/>
      <w:r w:rsidRPr="00564469">
        <w:rPr>
          <w:rFonts w:asciiTheme="majorBidi" w:eastAsia="Calibri" w:hAnsiTheme="majorBidi" w:cstheme="majorBidi"/>
          <w:sz w:val="24"/>
          <w:szCs w:val="24"/>
        </w:rPr>
        <w:t xml:space="preserve"> </w:t>
      </w:r>
      <w:proofErr w:type="spellStart"/>
      <w:r w:rsidRPr="00564469">
        <w:rPr>
          <w:rFonts w:asciiTheme="majorBidi" w:eastAsia="Calibri" w:hAnsiTheme="majorBidi" w:cstheme="majorBidi"/>
          <w:sz w:val="24"/>
          <w:szCs w:val="24"/>
        </w:rPr>
        <w:t>RANJSRiP</w:t>
      </w:r>
      <w:proofErr w:type="spellEnd"/>
      <w:r w:rsidRPr="00564469">
        <w:rPr>
          <w:rFonts w:asciiTheme="majorBidi" w:eastAsia="Calibri" w:hAnsiTheme="majorBidi" w:cstheme="majorBidi"/>
          <w:sz w:val="24"/>
          <w:szCs w:val="24"/>
        </w:rPr>
        <w:t xml:space="preserve">. Evaluation of commercial Linked immune-sorbent assay (ELISA) for detecting </w:t>
      </w:r>
      <w:proofErr w:type="spellStart"/>
      <w:r w:rsidRPr="00564469">
        <w:rPr>
          <w:rFonts w:asciiTheme="majorBidi" w:eastAsia="Calibri" w:hAnsiTheme="majorBidi" w:cstheme="majorBidi"/>
          <w:sz w:val="24"/>
          <w:szCs w:val="24"/>
        </w:rPr>
        <w:t>sero</w:t>
      </w:r>
      <w:proofErr w:type="spellEnd"/>
      <w:r w:rsidRPr="00564469">
        <w:rPr>
          <w:rFonts w:asciiTheme="majorBidi" w:eastAsia="Calibri" w:hAnsiTheme="majorBidi" w:cstheme="majorBidi"/>
          <w:sz w:val="24"/>
          <w:szCs w:val="24"/>
        </w:rPr>
        <w:t>-prevalence of Toxoplasma gondii antibodies in Iraqi women. 2020;11(12):57-62.</w:t>
      </w:r>
    </w:p>
    <w:p w14:paraId="32E0F85A" w14:textId="77777777" w:rsidR="00FA168E" w:rsidRDefault="00564469"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8. </w:t>
      </w:r>
      <w:r w:rsidRPr="003C2993">
        <w:rPr>
          <w:rFonts w:asciiTheme="majorBidi" w:eastAsia="Calibri" w:hAnsiTheme="majorBidi" w:cstheme="majorBidi"/>
          <w:sz w:val="24"/>
          <w:szCs w:val="24"/>
        </w:rPr>
        <w:t xml:space="preserve">Dubey J, Murata F, </w:t>
      </w:r>
      <w:proofErr w:type="spellStart"/>
      <w:r w:rsidRPr="003C2993">
        <w:rPr>
          <w:rFonts w:asciiTheme="majorBidi" w:eastAsia="Calibri" w:hAnsiTheme="majorBidi" w:cstheme="majorBidi"/>
          <w:sz w:val="24"/>
          <w:szCs w:val="24"/>
        </w:rPr>
        <w:t>Cerqueira-Cézar</w:t>
      </w:r>
      <w:proofErr w:type="spellEnd"/>
      <w:r w:rsidRPr="003C2993">
        <w:rPr>
          <w:rFonts w:asciiTheme="majorBidi" w:eastAsia="Calibri" w:hAnsiTheme="majorBidi" w:cstheme="majorBidi"/>
          <w:sz w:val="24"/>
          <w:szCs w:val="24"/>
        </w:rPr>
        <w:t xml:space="preserve"> C, Kwok </w:t>
      </w:r>
      <w:proofErr w:type="spellStart"/>
      <w:r w:rsidRPr="003C2993">
        <w:rPr>
          <w:rFonts w:asciiTheme="majorBidi" w:eastAsia="Calibri" w:hAnsiTheme="majorBidi" w:cstheme="majorBidi"/>
          <w:sz w:val="24"/>
          <w:szCs w:val="24"/>
        </w:rPr>
        <w:t>OJTJoP</w:t>
      </w:r>
      <w:proofErr w:type="spellEnd"/>
      <w:r w:rsidRPr="003C2993">
        <w:rPr>
          <w:rFonts w:asciiTheme="majorBidi" w:eastAsia="Calibri" w:hAnsiTheme="majorBidi" w:cstheme="majorBidi"/>
          <w:sz w:val="24"/>
          <w:szCs w:val="24"/>
        </w:rPr>
        <w:t>. Epidemiologic and public health significance of Toxoplasma gondii infections in venison: 2009–2020. 2021;107(2):309-19.</w:t>
      </w:r>
    </w:p>
    <w:p w14:paraId="44E31674" w14:textId="08334B6B" w:rsidR="00564469" w:rsidRPr="003C2993" w:rsidRDefault="00564469"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9.</w:t>
      </w:r>
      <w:r w:rsidRPr="003C2993">
        <w:rPr>
          <w:rFonts w:asciiTheme="majorBidi" w:eastAsia="Calibri" w:hAnsiTheme="majorBidi" w:cstheme="majorBidi"/>
          <w:sz w:val="24"/>
          <w:szCs w:val="24"/>
        </w:rPr>
        <w:t xml:space="preserve"> Sharif A, Aliyu M, Yusuf M, </w:t>
      </w:r>
      <w:proofErr w:type="spellStart"/>
      <w:r w:rsidRPr="003C2993">
        <w:rPr>
          <w:rFonts w:asciiTheme="majorBidi" w:eastAsia="Calibri" w:hAnsiTheme="majorBidi" w:cstheme="majorBidi"/>
          <w:sz w:val="24"/>
          <w:szCs w:val="24"/>
        </w:rPr>
        <w:t>Getso</w:t>
      </w:r>
      <w:proofErr w:type="spellEnd"/>
      <w:r w:rsidRPr="003C2993">
        <w:rPr>
          <w:rFonts w:asciiTheme="majorBidi" w:eastAsia="Calibri" w:hAnsiTheme="majorBidi" w:cstheme="majorBidi"/>
          <w:sz w:val="24"/>
          <w:szCs w:val="24"/>
        </w:rPr>
        <w:t xml:space="preserve"> M, Yahaya H, </w:t>
      </w:r>
      <w:proofErr w:type="spellStart"/>
      <w:r w:rsidRPr="003C2993">
        <w:rPr>
          <w:rFonts w:asciiTheme="majorBidi" w:eastAsia="Calibri" w:hAnsiTheme="majorBidi" w:cstheme="majorBidi"/>
          <w:sz w:val="24"/>
          <w:szCs w:val="24"/>
        </w:rPr>
        <w:t>Bala</w:t>
      </w:r>
      <w:proofErr w:type="spellEnd"/>
      <w:r w:rsidRPr="003C2993">
        <w:rPr>
          <w:rFonts w:asciiTheme="majorBidi" w:eastAsia="Calibri" w:hAnsiTheme="majorBidi" w:cstheme="majorBidi"/>
          <w:sz w:val="24"/>
          <w:szCs w:val="24"/>
        </w:rPr>
        <w:t xml:space="preserve"> J, et al. Risk factors and mode of transmission of toxoplasmosis in Nigeria: a review. 2018;11(2):107-21.</w:t>
      </w:r>
    </w:p>
    <w:p w14:paraId="279877B9" w14:textId="77777777" w:rsidR="00FA168E" w:rsidRDefault="00564469" w:rsidP="00FA168E">
      <w:pPr>
        <w:spacing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10. </w:t>
      </w:r>
      <w:proofErr w:type="spellStart"/>
      <w:r w:rsidRPr="003C2993">
        <w:rPr>
          <w:rFonts w:asciiTheme="majorBidi" w:eastAsia="Calibri" w:hAnsiTheme="majorBidi" w:cstheme="majorBidi"/>
          <w:sz w:val="24"/>
          <w:szCs w:val="24"/>
        </w:rPr>
        <w:t>Onduru</w:t>
      </w:r>
      <w:proofErr w:type="spellEnd"/>
      <w:r w:rsidRPr="003C2993">
        <w:rPr>
          <w:rFonts w:asciiTheme="majorBidi" w:eastAsia="Calibri" w:hAnsiTheme="majorBidi" w:cstheme="majorBidi"/>
          <w:sz w:val="24"/>
          <w:szCs w:val="24"/>
        </w:rPr>
        <w:t xml:space="preserve"> OG, </w:t>
      </w:r>
      <w:proofErr w:type="spellStart"/>
      <w:r w:rsidRPr="003C2993">
        <w:rPr>
          <w:rFonts w:asciiTheme="majorBidi" w:eastAsia="Calibri" w:hAnsiTheme="majorBidi" w:cstheme="majorBidi"/>
          <w:sz w:val="24"/>
          <w:szCs w:val="24"/>
        </w:rPr>
        <w:t>Rumisha</w:t>
      </w:r>
      <w:proofErr w:type="spellEnd"/>
      <w:r w:rsidRPr="003C2993">
        <w:rPr>
          <w:rFonts w:asciiTheme="majorBidi" w:eastAsia="Calibri" w:hAnsiTheme="majorBidi" w:cstheme="majorBidi"/>
          <w:sz w:val="24"/>
          <w:szCs w:val="24"/>
        </w:rPr>
        <w:t xml:space="preserve"> SF, </w:t>
      </w:r>
      <w:proofErr w:type="spellStart"/>
      <w:r w:rsidRPr="003C2993">
        <w:rPr>
          <w:rFonts w:asciiTheme="majorBidi" w:eastAsia="Calibri" w:hAnsiTheme="majorBidi" w:cstheme="majorBidi"/>
          <w:sz w:val="24"/>
          <w:szCs w:val="24"/>
        </w:rPr>
        <w:t>Munyeme</w:t>
      </w:r>
      <w:proofErr w:type="spellEnd"/>
      <w:r w:rsidRPr="003C2993">
        <w:rPr>
          <w:rFonts w:asciiTheme="majorBidi" w:eastAsia="Calibri" w:hAnsiTheme="majorBidi" w:cstheme="majorBidi"/>
          <w:sz w:val="24"/>
          <w:szCs w:val="24"/>
        </w:rPr>
        <w:t xml:space="preserve"> M, Phiri </w:t>
      </w:r>
      <w:proofErr w:type="spellStart"/>
      <w:r w:rsidRPr="003C2993">
        <w:rPr>
          <w:rFonts w:asciiTheme="majorBidi" w:eastAsia="Calibri" w:hAnsiTheme="majorBidi" w:cstheme="majorBidi"/>
          <w:sz w:val="24"/>
          <w:szCs w:val="24"/>
        </w:rPr>
        <w:t>AMJAhs</w:t>
      </w:r>
      <w:proofErr w:type="spellEnd"/>
      <w:r w:rsidRPr="003C2993">
        <w:rPr>
          <w:rFonts w:asciiTheme="majorBidi" w:eastAsia="Calibri" w:hAnsiTheme="majorBidi" w:cstheme="majorBidi"/>
          <w:sz w:val="24"/>
          <w:szCs w:val="24"/>
        </w:rPr>
        <w:t>. Evaluation of the level of awareness of congenital toxoplasmosis and associated practices among pregnant women and health workers in Tanzania’s Temeke district in Dar es Salaam. 2019;19(4):3027-37.</w:t>
      </w:r>
    </w:p>
    <w:p w14:paraId="60C42EEF" w14:textId="77777777" w:rsidR="00FA168E" w:rsidRDefault="00564469"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11.</w:t>
      </w:r>
      <w:r w:rsidRPr="003C2993">
        <w:rPr>
          <w:rFonts w:asciiTheme="majorBidi" w:eastAsia="Calibri" w:hAnsiTheme="majorBidi" w:cstheme="majorBidi"/>
          <w:sz w:val="24"/>
          <w:szCs w:val="24"/>
        </w:rPr>
        <w:t xml:space="preserve"> </w:t>
      </w:r>
      <w:proofErr w:type="spellStart"/>
      <w:r w:rsidRPr="003C2993">
        <w:rPr>
          <w:rFonts w:asciiTheme="majorBidi" w:eastAsia="Calibri" w:hAnsiTheme="majorBidi" w:cstheme="majorBidi"/>
          <w:sz w:val="24"/>
          <w:szCs w:val="24"/>
        </w:rPr>
        <w:t>Ladeia</w:t>
      </w:r>
      <w:proofErr w:type="spellEnd"/>
      <w:r w:rsidRPr="003C2993">
        <w:rPr>
          <w:rFonts w:asciiTheme="majorBidi" w:eastAsia="Calibri" w:hAnsiTheme="majorBidi" w:cstheme="majorBidi"/>
          <w:sz w:val="24"/>
          <w:szCs w:val="24"/>
        </w:rPr>
        <w:t xml:space="preserve"> WA, Martins FDC, Pinto-Ferreira F, Freire RL, Navarro IT. Detection of Toxoplasma Gondii in Meat.  Detection and Enumeration of Bacteria, Yeast, Viruses, and Protozoan in Foods and Freshwater: Springer; 2021. p. 215-23.</w:t>
      </w:r>
    </w:p>
    <w:p w14:paraId="04BFB32C" w14:textId="77777777" w:rsidR="00FA168E" w:rsidRDefault="00F46045"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12.</w:t>
      </w:r>
      <w:r w:rsidRPr="00F46045">
        <w:rPr>
          <w:rFonts w:asciiTheme="majorBidi" w:eastAsia="Calibri" w:hAnsiTheme="majorBidi" w:cstheme="majorBidi"/>
          <w:sz w:val="24"/>
          <w:szCs w:val="24"/>
        </w:rPr>
        <w:t xml:space="preserve"> </w:t>
      </w:r>
      <w:proofErr w:type="spellStart"/>
      <w:r w:rsidRPr="00F46045">
        <w:rPr>
          <w:rFonts w:asciiTheme="majorBidi" w:eastAsia="Calibri" w:hAnsiTheme="majorBidi" w:cstheme="majorBidi"/>
          <w:sz w:val="24"/>
          <w:szCs w:val="24"/>
        </w:rPr>
        <w:t>Kalogeropoulos</w:t>
      </w:r>
      <w:proofErr w:type="spellEnd"/>
      <w:r w:rsidRPr="00F46045">
        <w:rPr>
          <w:rFonts w:asciiTheme="majorBidi" w:eastAsia="Calibri" w:hAnsiTheme="majorBidi" w:cstheme="majorBidi"/>
          <w:sz w:val="24"/>
          <w:szCs w:val="24"/>
        </w:rPr>
        <w:t xml:space="preserve"> D, </w:t>
      </w:r>
      <w:proofErr w:type="spellStart"/>
      <w:r w:rsidRPr="00F46045">
        <w:rPr>
          <w:rFonts w:asciiTheme="majorBidi" w:eastAsia="Calibri" w:hAnsiTheme="majorBidi" w:cstheme="majorBidi"/>
          <w:sz w:val="24"/>
          <w:szCs w:val="24"/>
        </w:rPr>
        <w:t>Sakkas</w:t>
      </w:r>
      <w:proofErr w:type="spellEnd"/>
      <w:r w:rsidRPr="00F46045">
        <w:rPr>
          <w:rFonts w:asciiTheme="majorBidi" w:eastAsia="Calibri" w:hAnsiTheme="majorBidi" w:cstheme="majorBidi"/>
          <w:sz w:val="24"/>
          <w:szCs w:val="24"/>
        </w:rPr>
        <w:t xml:space="preserve"> H, Mohammed B, </w:t>
      </w:r>
      <w:proofErr w:type="spellStart"/>
      <w:r w:rsidRPr="00F46045">
        <w:rPr>
          <w:rFonts w:asciiTheme="majorBidi" w:eastAsia="Calibri" w:hAnsiTheme="majorBidi" w:cstheme="majorBidi"/>
          <w:sz w:val="24"/>
          <w:szCs w:val="24"/>
        </w:rPr>
        <w:t>Vartholomatos</w:t>
      </w:r>
      <w:proofErr w:type="spellEnd"/>
      <w:r w:rsidRPr="00F46045">
        <w:rPr>
          <w:rFonts w:asciiTheme="majorBidi" w:eastAsia="Calibri" w:hAnsiTheme="majorBidi" w:cstheme="majorBidi"/>
          <w:sz w:val="24"/>
          <w:szCs w:val="24"/>
        </w:rPr>
        <w:t xml:space="preserve"> G, </w:t>
      </w:r>
      <w:proofErr w:type="spellStart"/>
      <w:r w:rsidRPr="00F46045">
        <w:rPr>
          <w:rFonts w:asciiTheme="majorBidi" w:eastAsia="Calibri" w:hAnsiTheme="majorBidi" w:cstheme="majorBidi"/>
          <w:sz w:val="24"/>
          <w:szCs w:val="24"/>
        </w:rPr>
        <w:t>Malamos</w:t>
      </w:r>
      <w:proofErr w:type="spellEnd"/>
      <w:r w:rsidRPr="00F46045">
        <w:rPr>
          <w:rFonts w:asciiTheme="majorBidi" w:eastAsia="Calibri" w:hAnsiTheme="majorBidi" w:cstheme="majorBidi"/>
          <w:sz w:val="24"/>
          <w:szCs w:val="24"/>
        </w:rPr>
        <w:t xml:space="preserve"> K, </w:t>
      </w:r>
      <w:proofErr w:type="spellStart"/>
      <w:r w:rsidRPr="00F46045">
        <w:rPr>
          <w:rFonts w:asciiTheme="majorBidi" w:eastAsia="Calibri" w:hAnsiTheme="majorBidi" w:cstheme="majorBidi"/>
          <w:sz w:val="24"/>
          <w:szCs w:val="24"/>
        </w:rPr>
        <w:t>Sreekantam</w:t>
      </w:r>
      <w:proofErr w:type="spellEnd"/>
      <w:r w:rsidRPr="00F46045">
        <w:rPr>
          <w:rFonts w:asciiTheme="majorBidi" w:eastAsia="Calibri" w:hAnsiTheme="majorBidi" w:cstheme="majorBidi"/>
          <w:sz w:val="24"/>
          <w:szCs w:val="24"/>
        </w:rPr>
        <w:t xml:space="preserve"> S, et al. Ocular toxoplasmosis: a review of the current diagnostic and therapeutic approaches. 2021:1-27.</w:t>
      </w:r>
    </w:p>
    <w:p w14:paraId="70613E87" w14:textId="77777777" w:rsidR="00FA168E" w:rsidRDefault="00F46045"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13. </w:t>
      </w:r>
      <w:proofErr w:type="spellStart"/>
      <w:r w:rsidRPr="003C2993">
        <w:rPr>
          <w:rFonts w:asciiTheme="majorBidi" w:eastAsia="Calibri" w:hAnsiTheme="majorBidi" w:cstheme="majorBidi"/>
          <w:sz w:val="24"/>
          <w:szCs w:val="24"/>
        </w:rPr>
        <w:t>Heij</w:t>
      </w:r>
      <w:proofErr w:type="spellEnd"/>
      <w:r w:rsidRPr="003C2993">
        <w:rPr>
          <w:rFonts w:asciiTheme="majorBidi" w:eastAsia="Calibri" w:hAnsiTheme="majorBidi" w:cstheme="majorBidi"/>
          <w:sz w:val="24"/>
          <w:szCs w:val="24"/>
        </w:rPr>
        <w:t xml:space="preserve"> HAJPSGPS, Tumors, Trauma, Transplantation. Lymph Node Disorders. 2021:11-20.</w:t>
      </w:r>
    </w:p>
    <w:p w14:paraId="3658463A" w14:textId="77777777" w:rsidR="00FA168E" w:rsidRDefault="00F46045"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14. </w:t>
      </w:r>
      <w:r w:rsidRPr="003C2993">
        <w:rPr>
          <w:rFonts w:asciiTheme="majorBidi" w:eastAsia="Calibri" w:hAnsiTheme="majorBidi" w:cstheme="majorBidi"/>
          <w:sz w:val="24"/>
          <w:szCs w:val="24"/>
        </w:rPr>
        <w:t xml:space="preserve">Healy </w:t>
      </w:r>
      <w:proofErr w:type="spellStart"/>
      <w:r w:rsidRPr="003C2993">
        <w:rPr>
          <w:rFonts w:asciiTheme="majorBidi" w:eastAsia="Calibri" w:hAnsiTheme="majorBidi" w:cstheme="majorBidi"/>
          <w:sz w:val="24"/>
          <w:szCs w:val="24"/>
        </w:rPr>
        <w:t>CMJUDewuccc</w:t>
      </w:r>
      <w:proofErr w:type="spellEnd"/>
      <w:r w:rsidRPr="003C2993">
        <w:rPr>
          <w:rFonts w:asciiTheme="majorBidi" w:eastAsia="Calibri" w:hAnsiTheme="majorBidi" w:cstheme="majorBidi"/>
          <w:sz w:val="24"/>
          <w:szCs w:val="24"/>
        </w:rPr>
        <w:t>-</w:t>
      </w:r>
      <w:proofErr w:type="spellStart"/>
      <w:r w:rsidRPr="003C2993">
        <w:rPr>
          <w:rFonts w:asciiTheme="majorBidi" w:eastAsia="Calibri" w:hAnsiTheme="majorBidi" w:cstheme="majorBidi"/>
          <w:sz w:val="24"/>
          <w:szCs w:val="24"/>
        </w:rPr>
        <w:t>lt</w:t>
      </w:r>
      <w:proofErr w:type="spellEnd"/>
      <w:r w:rsidRPr="003C2993">
        <w:rPr>
          <w:rFonts w:asciiTheme="majorBidi" w:eastAsia="Calibri" w:hAnsiTheme="majorBidi" w:cstheme="majorBidi"/>
          <w:sz w:val="24"/>
          <w:szCs w:val="24"/>
        </w:rPr>
        <w:t>-</w:t>
      </w:r>
      <w:proofErr w:type="spellStart"/>
      <w:r w:rsidRPr="003C2993">
        <w:rPr>
          <w:rFonts w:asciiTheme="majorBidi" w:eastAsia="Calibri" w:hAnsiTheme="majorBidi" w:cstheme="majorBidi"/>
          <w:sz w:val="24"/>
          <w:szCs w:val="24"/>
        </w:rPr>
        <w:t>i</w:t>
      </w:r>
      <w:proofErr w:type="spellEnd"/>
      <w:r w:rsidRPr="003C2993">
        <w:rPr>
          <w:rFonts w:asciiTheme="majorBidi" w:eastAsia="Calibri" w:hAnsiTheme="majorBidi" w:cstheme="majorBidi"/>
          <w:sz w:val="24"/>
          <w:szCs w:val="24"/>
        </w:rPr>
        <w:t>-c-e-a-c-m. Cervical lymphadenitis in children: etiology and clinical manifestations. 2017.</w:t>
      </w:r>
    </w:p>
    <w:p w14:paraId="5CC05017" w14:textId="77777777" w:rsidR="00FA168E" w:rsidRDefault="00F46045"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15.</w:t>
      </w:r>
      <w:r w:rsidR="00D4557A">
        <w:rPr>
          <w:rFonts w:asciiTheme="majorBidi" w:eastAsia="Calibri" w:hAnsiTheme="majorBidi" w:cstheme="majorBidi"/>
          <w:sz w:val="24"/>
          <w:szCs w:val="24"/>
        </w:rPr>
        <w:t xml:space="preserve"> </w:t>
      </w:r>
      <w:proofErr w:type="spellStart"/>
      <w:r w:rsidRPr="003C2993">
        <w:rPr>
          <w:rFonts w:asciiTheme="majorBidi" w:eastAsia="Calibri" w:hAnsiTheme="majorBidi" w:cstheme="majorBidi"/>
          <w:sz w:val="24"/>
          <w:szCs w:val="24"/>
        </w:rPr>
        <w:t>Bargagli</w:t>
      </w:r>
      <w:proofErr w:type="spellEnd"/>
      <w:r w:rsidRPr="003C2993">
        <w:rPr>
          <w:rFonts w:asciiTheme="majorBidi" w:eastAsia="Calibri" w:hAnsiTheme="majorBidi" w:cstheme="majorBidi"/>
          <w:sz w:val="24"/>
          <w:szCs w:val="24"/>
        </w:rPr>
        <w:t xml:space="preserve"> E, </w:t>
      </w:r>
      <w:proofErr w:type="spellStart"/>
      <w:r w:rsidRPr="003C2993">
        <w:rPr>
          <w:rFonts w:asciiTheme="majorBidi" w:eastAsia="Calibri" w:hAnsiTheme="majorBidi" w:cstheme="majorBidi"/>
          <w:sz w:val="24"/>
          <w:szCs w:val="24"/>
        </w:rPr>
        <w:t>Prasse</w:t>
      </w:r>
      <w:proofErr w:type="spellEnd"/>
      <w:r w:rsidRPr="003C2993">
        <w:rPr>
          <w:rFonts w:asciiTheme="majorBidi" w:eastAsia="Calibri" w:hAnsiTheme="majorBidi" w:cstheme="majorBidi"/>
          <w:sz w:val="24"/>
          <w:szCs w:val="24"/>
        </w:rPr>
        <w:t xml:space="preserve"> AJI, medicine e. Sarcoidosis: a review for the internist. 2018;13(3):325-31.</w:t>
      </w:r>
    </w:p>
    <w:p w14:paraId="04F8385F" w14:textId="77777777" w:rsidR="00FA168E" w:rsidRDefault="00F46045"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16. </w:t>
      </w:r>
      <w:r w:rsidRPr="003C2993">
        <w:rPr>
          <w:rFonts w:asciiTheme="majorBidi" w:eastAsia="Calibri" w:hAnsiTheme="majorBidi" w:cstheme="majorBidi"/>
          <w:sz w:val="24"/>
          <w:szCs w:val="24"/>
        </w:rPr>
        <w:t xml:space="preserve">Clough B, </w:t>
      </w:r>
      <w:proofErr w:type="spellStart"/>
      <w:r w:rsidRPr="003C2993">
        <w:rPr>
          <w:rFonts w:asciiTheme="majorBidi" w:eastAsia="Calibri" w:hAnsiTheme="majorBidi" w:cstheme="majorBidi"/>
          <w:sz w:val="24"/>
          <w:szCs w:val="24"/>
        </w:rPr>
        <w:t>Frickel</w:t>
      </w:r>
      <w:proofErr w:type="spellEnd"/>
      <w:r w:rsidRPr="003C2993">
        <w:rPr>
          <w:rFonts w:asciiTheme="majorBidi" w:eastAsia="Calibri" w:hAnsiTheme="majorBidi" w:cstheme="majorBidi"/>
          <w:sz w:val="24"/>
          <w:szCs w:val="24"/>
        </w:rPr>
        <w:t xml:space="preserve"> E-</w:t>
      </w:r>
      <w:proofErr w:type="spellStart"/>
      <w:r w:rsidRPr="003C2993">
        <w:rPr>
          <w:rFonts w:asciiTheme="majorBidi" w:eastAsia="Calibri" w:hAnsiTheme="majorBidi" w:cstheme="majorBidi"/>
          <w:sz w:val="24"/>
          <w:szCs w:val="24"/>
        </w:rPr>
        <w:t>MJTip</w:t>
      </w:r>
      <w:proofErr w:type="spellEnd"/>
      <w:r w:rsidRPr="003C2993">
        <w:rPr>
          <w:rFonts w:asciiTheme="majorBidi" w:eastAsia="Calibri" w:hAnsiTheme="majorBidi" w:cstheme="majorBidi"/>
          <w:sz w:val="24"/>
          <w:szCs w:val="24"/>
        </w:rPr>
        <w:t>. The toxoplasma parasitophorous vacuole: an evolving host–parasite frontier. 2017;33(6):473-88.</w:t>
      </w:r>
    </w:p>
    <w:p w14:paraId="538795A6" w14:textId="77777777" w:rsidR="00FA168E" w:rsidRDefault="00F46045"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17. </w:t>
      </w:r>
      <w:r w:rsidRPr="003C2993">
        <w:rPr>
          <w:rFonts w:asciiTheme="majorBidi" w:eastAsia="Calibri" w:hAnsiTheme="majorBidi" w:cstheme="majorBidi"/>
          <w:sz w:val="24"/>
          <w:szCs w:val="24"/>
        </w:rPr>
        <w:t xml:space="preserve">Tong WH, Pavey C, </w:t>
      </w:r>
      <w:proofErr w:type="spellStart"/>
      <w:r w:rsidRPr="003C2993">
        <w:rPr>
          <w:rFonts w:asciiTheme="majorBidi" w:eastAsia="Calibri" w:hAnsiTheme="majorBidi" w:cstheme="majorBidi"/>
          <w:sz w:val="24"/>
          <w:szCs w:val="24"/>
        </w:rPr>
        <w:t>O’Handley</w:t>
      </w:r>
      <w:proofErr w:type="spellEnd"/>
      <w:r w:rsidRPr="003C2993">
        <w:rPr>
          <w:rFonts w:asciiTheme="majorBidi" w:eastAsia="Calibri" w:hAnsiTheme="majorBidi" w:cstheme="majorBidi"/>
          <w:sz w:val="24"/>
          <w:szCs w:val="24"/>
        </w:rPr>
        <w:t xml:space="preserve"> R, Vyas A. Behavioral biology of Toxoplasma gondii infection. Parasites &amp; Vectors. 2021;14(1):77.</w:t>
      </w:r>
    </w:p>
    <w:p w14:paraId="6A21AB83" w14:textId="77777777" w:rsidR="00FA168E" w:rsidRDefault="00F46045"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18. </w:t>
      </w:r>
      <w:r w:rsidRPr="003C2993">
        <w:rPr>
          <w:rFonts w:asciiTheme="majorBidi" w:eastAsia="Calibri" w:hAnsiTheme="majorBidi" w:cstheme="majorBidi"/>
          <w:sz w:val="24"/>
          <w:szCs w:val="24"/>
        </w:rPr>
        <w:t>Ortiz-Guerrero G, Gonzalez-Reyes RE, de-la-Torre A, Medina-</w:t>
      </w:r>
      <w:proofErr w:type="spellStart"/>
      <w:r w:rsidRPr="003C2993">
        <w:rPr>
          <w:rFonts w:asciiTheme="majorBidi" w:eastAsia="Calibri" w:hAnsiTheme="majorBidi" w:cstheme="majorBidi"/>
          <w:sz w:val="24"/>
          <w:szCs w:val="24"/>
        </w:rPr>
        <w:t>Rincón</w:t>
      </w:r>
      <w:proofErr w:type="spellEnd"/>
      <w:r w:rsidRPr="003C2993">
        <w:rPr>
          <w:rFonts w:asciiTheme="majorBidi" w:eastAsia="Calibri" w:hAnsiTheme="majorBidi" w:cstheme="majorBidi"/>
          <w:sz w:val="24"/>
          <w:szCs w:val="24"/>
        </w:rPr>
        <w:t xml:space="preserve"> G, Nava-Mesa MOJBs. Pathophysiological mechanisms of cognitive impairment and neurodegeneration by Toxoplasma gondii infection. 2020;10(6):369.</w:t>
      </w:r>
    </w:p>
    <w:p w14:paraId="6201DDE2" w14:textId="77777777" w:rsidR="00FA168E" w:rsidRDefault="00F46045"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19.</w:t>
      </w:r>
      <w:r w:rsidRPr="003C2993">
        <w:rPr>
          <w:rFonts w:asciiTheme="majorBidi" w:eastAsia="Calibri" w:hAnsiTheme="majorBidi" w:cstheme="majorBidi"/>
          <w:sz w:val="24"/>
          <w:szCs w:val="24"/>
        </w:rPr>
        <w:t xml:space="preserve"> Dubey, J. P., Ferreira, L. R., </w:t>
      </w:r>
      <w:proofErr w:type="spellStart"/>
      <w:r w:rsidRPr="003C2993">
        <w:rPr>
          <w:rFonts w:asciiTheme="majorBidi" w:eastAsia="Calibri" w:hAnsiTheme="majorBidi" w:cstheme="majorBidi"/>
          <w:sz w:val="24"/>
          <w:szCs w:val="24"/>
        </w:rPr>
        <w:t>Alsaad</w:t>
      </w:r>
      <w:proofErr w:type="spellEnd"/>
      <w:r w:rsidRPr="003C2993">
        <w:rPr>
          <w:rFonts w:asciiTheme="majorBidi" w:eastAsia="Calibri" w:hAnsiTheme="majorBidi" w:cstheme="majorBidi"/>
          <w:sz w:val="24"/>
          <w:szCs w:val="24"/>
        </w:rPr>
        <w:t xml:space="preserve">, M., Verma, S. K., Alves, D. A., Holland, G. N., &amp; McConkey, G. A. (2016). Experimental toxoplasmosis in rats induced orally with eleven strains of </w:t>
      </w:r>
      <w:r w:rsidRPr="003C2993">
        <w:rPr>
          <w:rFonts w:asciiTheme="majorBidi" w:eastAsia="Calibri" w:hAnsiTheme="majorBidi" w:cstheme="majorBidi"/>
          <w:i/>
          <w:iCs/>
          <w:sz w:val="24"/>
          <w:szCs w:val="24"/>
        </w:rPr>
        <w:t>Toxoplasma gondii</w:t>
      </w:r>
      <w:r w:rsidRPr="003C2993">
        <w:rPr>
          <w:rFonts w:asciiTheme="majorBidi" w:eastAsia="Calibri" w:hAnsiTheme="majorBidi" w:cstheme="majorBidi"/>
          <w:sz w:val="24"/>
          <w:szCs w:val="24"/>
        </w:rPr>
        <w:t xml:space="preserve"> of seven genotypes: tissue tropism, tissue cyst size, </w:t>
      </w:r>
      <w:r w:rsidRPr="003C2993">
        <w:rPr>
          <w:rFonts w:asciiTheme="majorBidi" w:eastAsia="Calibri" w:hAnsiTheme="majorBidi" w:cstheme="majorBidi"/>
          <w:sz w:val="24"/>
          <w:szCs w:val="24"/>
        </w:rPr>
        <w:lastRenderedPageBreak/>
        <w:t xml:space="preserve">neural lesions, tissue cyst rupture without reactivation, and ocular lesions. </w:t>
      </w:r>
      <w:proofErr w:type="spellStart"/>
      <w:r w:rsidRPr="003C2993">
        <w:rPr>
          <w:rFonts w:asciiTheme="majorBidi" w:eastAsia="Calibri" w:hAnsiTheme="majorBidi" w:cstheme="majorBidi"/>
          <w:i/>
          <w:iCs/>
          <w:sz w:val="24"/>
          <w:szCs w:val="24"/>
        </w:rPr>
        <w:t>PloS</w:t>
      </w:r>
      <w:proofErr w:type="spellEnd"/>
      <w:r w:rsidRPr="003C2993">
        <w:rPr>
          <w:rFonts w:asciiTheme="majorBidi" w:eastAsia="Calibri" w:hAnsiTheme="majorBidi" w:cstheme="majorBidi"/>
          <w:i/>
          <w:iCs/>
          <w:sz w:val="24"/>
          <w:szCs w:val="24"/>
        </w:rPr>
        <w:t xml:space="preserve"> One</w:t>
      </w:r>
      <w:r w:rsidRPr="003C2993">
        <w:rPr>
          <w:rFonts w:asciiTheme="majorBidi" w:eastAsia="Calibri" w:hAnsiTheme="majorBidi" w:cstheme="majorBidi"/>
          <w:sz w:val="24"/>
          <w:szCs w:val="24"/>
        </w:rPr>
        <w:t>, 11(5), e0156255.</w:t>
      </w:r>
    </w:p>
    <w:p w14:paraId="3A003F42" w14:textId="77777777" w:rsidR="00FA168E" w:rsidRDefault="005F1776"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20. </w:t>
      </w:r>
      <w:r w:rsidRPr="005F1776">
        <w:rPr>
          <w:rFonts w:asciiTheme="majorBidi" w:eastAsia="Calibri" w:hAnsiTheme="majorBidi" w:cstheme="majorBidi"/>
          <w:sz w:val="24"/>
          <w:szCs w:val="24"/>
        </w:rPr>
        <w:t xml:space="preserve"> Lori C.,  Kenneth  H. E., Martha E. W. and Imtiaz  A. “CD8 + T-Cell Immunity Against Toxoplasma gondii can be Induced but not Maintained in Mice lacking Conventional CD4+ T Cells” Infect Immunol, 70: 434-443(2002).</w:t>
      </w:r>
    </w:p>
    <w:p w14:paraId="655B0E66" w14:textId="239C3093" w:rsidR="005F1776" w:rsidRPr="005F1776" w:rsidRDefault="005F1776"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21.</w:t>
      </w:r>
      <w:r w:rsidR="00D4557A">
        <w:rPr>
          <w:rFonts w:asciiTheme="majorBidi" w:eastAsia="Calibri" w:hAnsiTheme="majorBidi" w:cstheme="majorBidi"/>
          <w:sz w:val="24"/>
          <w:szCs w:val="24"/>
        </w:rPr>
        <w:t xml:space="preserve"> </w:t>
      </w:r>
      <w:proofErr w:type="spellStart"/>
      <w:r w:rsidRPr="005F1776">
        <w:rPr>
          <w:rFonts w:asciiTheme="majorBidi" w:eastAsia="Calibri" w:hAnsiTheme="majorBidi" w:cstheme="majorBidi"/>
          <w:sz w:val="24"/>
          <w:szCs w:val="24"/>
        </w:rPr>
        <w:t>Frickel</w:t>
      </w:r>
      <w:proofErr w:type="spellEnd"/>
      <w:r w:rsidRPr="005F1776">
        <w:rPr>
          <w:rFonts w:asciiTheme="majorBidi" w:eastAsia="Calibri" w:hAnsiTheme="majorBidi" w:cstheme="majorBidi"/>
          <w:sz w:val="24"/>
          <w:szCs w:val="24"/>
        </w:rPr>
        <w:t xml:space="preserve"> E-M, Hunter </w:t>
      </w:r>
      <w:proofErr w:type="spellStart"/>
      <w:r w:rsidRPr="005F1776">
        <w:rPr>
          <w:rFonts w:asciiTheme="majorBidi" w:eastAsia="Calibri" w:hAnsiTheme="majorBidi" w:cstheme="majorBidi"/>
          <w:sz w:val="24"/>
          <w:szCs w:val="24"/>
        </w:rPr>
        <w:t>CAJJoEM</w:t>
      </w:r>
      <w:proofErr w:type="spellEnd"/>
      <w:r w:rsidRPr="005F1776">
        <w:rPr>
          <w:rFonts w:asciiTheme="majorBidi" w:eastAsia="Calibri" w:hAnsiTheme="majorBidi" w:cstheme="majorBidi"/>
          <w:sz w:val="24"/>
          <w:szCs w:val="24"/>
        </w:rPr>
        <w:t>. Lessons from Toxoplasma: Host responses that mediate parasite control and the microbial effectors that subvert them. 2021;218(11):e20201314.</w:t>
      </w:r>
    </w:p>
    <w:p w14:paraId="7E361125" w14:textId="77777777" w:rsidR="00FA168E" w:rsidRDefault="005F1776" w:rsidP="00FA168E">
      <w:pPr>
        <w:spacing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22.</w:t>
      </w:r>
      <w:r w:rsidR="00D4557A">
        <w:rPr>
          <w:rFonts w:asciiTheme="majorBidi" w:eastAsia="Calibri" w:hAnsiTheme="majorBidi" w:cstheme="majorBidi"/>
          <w:sz w:val="24"/>
          <w:szCs w:val="24"/>
        </w:rPr>
        <w:t xml:space="preserve"> </w:t>
      </w:r>
      <w:r w:rsidRPr="005F1776">
        <w:rPr>
          <w:rFonts w:asciiTheme="majorBidi" w:eastAsia="Calibri" w:hAnsiTheme="majorBidi" w:cstheme="majorBidi"/>
          <w:sz w:val="24"/>
          <w:szCs w:val="24"/>
        </w:rPr>
        <w:t xml:space="preserve">Laing C, Blanchard N, McConkey </w:t>
      </w:r>
      <w:proofErr w:type="spellStart"/>
      <w:r w:rsidRPr="005F1776">
        <w:rPr>
          <w:rFonts w:asciiTheme="majorBidi" w:eastAsia="Calibri" w:hAnsiTheme="majorBidi" w:cstheme="majorBidi"/>
          <w:sz w:val="24"/>
          <w:szCs w:val="24"/>
        </w:rPr>
        <w:t>GAJTiI</w:t>
      </w:r>
      <w:proofErr w:type="spellEnd"/>
      <w:r w:rsidRPr="005F1776">
        <w:rPr>
          <w:rFonts w:asciiTheme="majorBidi" w:eastAsia="Calibri" w:hAnsiTheme="majorBidi" w:cstheme="majorBidi"/>
          <w:sz w:val="24"/>
          <w:szCs w:val="24"/>
        </w:rPr>
        <w:t>. Noradrenergic signaling and neuroinflammation crosstalk regulate Toxoplasma gondii-induced behavioral changes. 2020.</w:t>
      </w:r>
    </w:p>
    <w:p w14:paraId="11962012" w14:textId="77777777" w:rsidR="00FA168E" w:rsidRDefault="003F1DCF"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23.</w:t>
      </w:r>
      <w:r w:rsidR="00D4557A">
        <w:rPr>
          <w:rFonts w:asciiTheme="majorBidi" w:eastAsia="Calibri" w:hAnsiTheme="majorBidi" w:cstheme="majorBidi"/>
          <w:sz w:val="24"/>
          <w:szCs w:val="24"/>
        </w:rPr>
        <w:t xml:space="preserve"> </w:t>
      </w:r>
      <w:r w:rsidRPr="003F1DCF">
        <w:rPr>
          <w:rFonts w:asciiTheme="majorBidi" w:eastAsia="Calibri" w:hAnsiTheme="majorBidi" w:cstheme="majorBidi"/>
          <w:sz w:val="24"/>
          <w:szCs w:val="24"/>
        </w:rPr>
        <w:t>Bhadra R, Khan IA. Redefining Chronic Toxoplasmosis—A T Cell Exhaustion Perspective. PLOS Pathogens. 2012;8(10):e1002903.</w:t>
      </w:r>
    </w:p>
    <w:p w14:paraId="5BFCA631" w14:textId="77777777" w:rsidR="00FA168E" w:rsidRDefault="003F1DCF"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24.</w:t>
      </w:r>
      <w:r w:rsidR="00D4557A">
        <w:rPr>
          <w:rFonts w:asciiTheme="majorBidi" w:eastAsia="Calibri" w:hAnsiTheme="majorBidi" w:cstheme="majorBidi"/>
          <w:sz w:val="24"/>
          <w:szCs w:val="24"/>
        </w:rPr>
        <w:t xml:space="preserve"> </w:t>
      </w:r>
      <w:r w:rsidRPr="003F1DCF">
        <w:rPr>
          <w:rFonts w:asciiTheme="majorBidi" w:eastAsia="Calibri" w:hAnsiTheme="majorBidi" w:cstheme="majorBidi"/>
          <w:sz w:val="24"/>
          <w:szCs w:val="24"/>
        </w:rPr>
        <w:t xml:space="preserve"> Jiang T. The population genetics, ecology, and transmission of Toxoplasma gondii in North America. 2019.</w:t>
      </w:r>
    </w:p>
    <w:p w14:paraId="7F061074" w14:textId="77777777" w:rsidR="00FA168E" w:rsidRDefault="003F1DCF"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25. </w:t>
      </w:r>
      <w:proofErr w:type="spellStart"/>
      <w:r w:rsidRPr="003F1DCF">
        <w:rPr>
          <w:rFonts w:asciiTheme="majorBidi" w:eastAsia="Calibri" w:hAnsiTheme="majorBidi" w:cstheme="majorBidi"/>
          <w:sz w:val="24"/>
          <w:szCs w:val="24"/>
        </w:rPr>
        <w:t>Mévélec</w:t>
      </w:r>
      <w:proofErr w:type="spellEnd"/>
      <w:r w:rsidRPr="003F1DCF">
        <w:rPr>
          <w:rFonts w:asciiTheme="majorBidi" w:eastAsia="Calibri" w:hAnsiTheme="majorBidi" w:cstheme="majorBidi"/>
          <w:sz w:val="24"/>
          <w:szCs w:val="24"/>
        </w:rPr>
        <w:t xml:space="preserve">, M., </w:t>
      </w:r>
      <w:proofErr w:type="spellStart"/>
      <w:r w:rsidRPr="003F1DCF">
        <w:rPr>
          <w:rFonts w:asciiTheme="majorBidi" w:eastAsia="Calibri" w:hAnsiTheme="majorBidi" w:cstheme="majorBidi"/>
          <w:sz w:val="24"/>
          <w:szCs w:val="24"/>
        </w:rPr>
        <w:t>Lakhrif</w:t>
      </w:r>
      <w:proofErr w:type="spellEnd"/>
      <w:r w:rsidRPr="003F1DCF">
        <w:rPr>
          <w:rFonts w:asciiTheme="majorBidi" w:eastAsia="Calibri" w:hAnsiTheme="majorBidi" w:cstheme="majorBidi"/>
          <w:sz w:val="24"/>
          <w:szCs w:val="24"/>
        </w:rPr>
        <w:t xml:space="preserve">, Z., &amp; </w:t>
      </w:r>
      <w:proofErr w:type="spellStart"/>
      <w:r w:rsidRPr="003F1DCF">
        <w:rPr>
          <w:rFonts w:asciiTheme="majorBidi" w:eastAsia="Calibri" w:hAnsiTheme="majorBidi" w:cstheme="majorBidi"/>
          <w:sz w:val="24"/>
          <w:szCs w:val="24"/>
        </w:rPr>
        <w:t>Dimier</w:t>
      </w:r>
      <w:proofErr w:type="spellEnd"/>
      <w:r w:rsidRPr="003F1DCF">
        <w:rPr>
          <w:rFonts w:asciiTheme="majorBidi" w:eastAsia="Calibri" w:hAnsiTheme="majorBidi" w:cstheme="majorBidi"/>
          <w:sz w:val="24"/>
          <w:szCs w:val="24"/>
        </w:rPr>
        <w:t xml:space="preserve">-Poisson, I. (2020). Key Limitations and New Insights in to the Toxoplasma gondii Parasite Stage Switching for Future Vaccine Development in Human, Livestock, and Cats. </w:t>
      </w:r>
      <w:proofErr w:type="spellStart"/>
      <w:r w:rsidRPr="003F1DCF">
        <w:rPr>
          <w:rFonts w:asciiTheme="majorBidi" w:eastAsia="Calibri" w:hAnsiTheme="majorBidi" w:cstheme="majorBidi"/>
          <w:sz w:val="24"/>
          <w:szCs w:val="24"/>
        </w:rPr>
        <w:t>Fron</w:t>
      </w:r>
      <w:proofErr w:type="spellEnd"/>
      <w:r w:rsidRPr="003F1DCF">
        <w:rPr>
          <w:rFonts w:asciiTheme="majorBidi" w:eastAsia="Calibri" w:hAnsiTheme="majorBidi" w:cstheme="majorBidi"/>
          <w:sz w:val="24"/>
          <w:szCs w:val="24"/>
        </w:rPr>
        <w:t>. Cell. Infect. Microbiol, 10, 607198.</w:t>
      </w:r>
    </w:p>
    <w:p w14:paraId="5093A8E8" w14:textId="0C56F51D" w:rsidR="00A91D60" w:rsidRDefault="003F1DCF"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26.</w:t>
      </w:r>
      <w:r w:rsidRPr="003F1DCF">
        <w:rPr>
          <w:rFonts w:asciiTheme="majorBidi" w:eastAsia="Calibri" w:hAnsiTheme="majorBidi" w:cstheme="majorBidi"/>
          <w:sz w:val="24"/>
          <w:szCs w:val="24"/>
        </w:rPr>
        <w:t xml:space="preserve"> </w:t>
      </w:r>
      <w:r w:rsidR="00D4557A" w:rsidRPr="00D4557A">
        <w:rPr>
          <w:rFonts w:asciiTheme="majorBidi" w:eastAsia="Calibri" w:hAnsiTheme="majorBidi" w:cstheme="majorBidi"/>
          <w:sz w:val="24"/>
          <w:szCs w:val="24"/>
        </w:rPr>
        <w:t>Robinson, Cory M., et al. "Cytokines involved in interferon-γ production by human macrophages." </w:t>
      </w:r>
      <w:r w:rsidR="00D4557A" w:rsidRPr="00D4557A">
        <w:rPr>
          <w:rFonts w:asciiTheme="majorBidi" w:eastAsia="Calibri" w:hAnsiTheme="majorBidi" w:cstheme="majorBidi"/>
          <w:i/>
          <w:iCs/>
          <w:sz w:val="24"/>
          <w:szCs w:val="24"/>
        </w:rPr>
        <w:t>Journal of innate immunity</w:t>
      </w:r>
      <w:r w:rsidR="00D4557A" w:rsidRPr="00D4557A">
        <w:rPr>
          <w:rFonts w:asciiTheme="majorBidi" w:eastAsia="Calibri" w:hAnsiTheme="majorBidi" w:cstheme="majorBidi"/>
          <w:sz w:val="24"/>
          <w:szCs w:val="24"/>
        </w:rPr>
        <w:t> 2.1 (2010): 56-65</w:t>
      </w:r>
      <w:r w:rsidR="00D4557A">
        <w:rPr>
          <w:rFonts w:asciiTheme="majorBidi" w:eastAsia="Calibri" w:hAnsiTheme="majorBidi" w:cstheme="majorBidi"/>
          <w:sz w:val="24"/>
          <w:szCs w:val="24"/>
        </w:rPr>
        <w:t>.</w:t>
      </w:r>
    </w:p>
    <w:p w14:paraId="1E140234" w14:textId="77777777" w:rsidR="00FA168E" w:rsidRDefault="00FA168E" w:rsidP="00FA168E">
      <w:pPr>
        <w:spacing w:after="0" w:line="276" w:lineRule="auto"/>
        <w:jc w:val="both"/>
        <w:rPr>
          <w:rFonts w:asciiTheme="majorBidi" w:eastAsia="Calibri" w:hAnsiTheme="majorBidi" w:cstheme="majorBidi"/>
          <w:sz w:val="24"/>
          <w:szCs w:val="24"/>
        </w:rPr>
      </w:pPr>
    </w:p>
    <w:p w14:paraId="17A50F49" w14:textId="77777777" w:rsidR="00FA168E" w:rsidRDefault="00C37C60" w:rsidP="00FA168E">
      <w:pPr>
        <w:spacing w:after="0" w:line="276" w:lineRule="auto"/>
        <w:jc w:val="both"/>
        <w:rPr>
          <w:rFonts w:asciiTheme="majorBidi" w:eastAsia="Calibri" w:hAnsiTheme="majorBidi" w:cstheme="majorBidi"/>
          <w:sz w:val="24"/>
          <w:szCs w:val="24"/>
        </w:rPr>
      </w:pPr>
      <w:r w:rsidRPr="00A91D60">
        <w:rPr>
          <w:rFonts w:asciiTheme="majorBidi" w:eastAsia="Calibri" w:hAnsiTheme="majorBidi" w:cstheme="majorBidi"/>
          <w:sz w:val="24"/>
          <w:szCs w:val="24"/>
        </w:rPr>
        <w:t>27.</w:t>
      </w:r>
      <w:r>
        <w:rPr>
          <w:rFonts w:asciiTheme="majorBidi" w:eastAsia="Calibri" w:hAnsiTheme="majorBidi" w:cstheme="majorBidi"/>
          <w:b/>
          <w:bCs/>
          <w:sz w:val="24"/>
          <w:szCs w:val="24"/>
        </w:rPr>
        <w:t xml:space="preserve"> </w:t>
      </w:r>
      <w:r w:rsidRPr="00D4557A">
        <w:rPr>
          <w:rFonts w:asciiTheme="majorBidi" w:eastAsia="Calibri" w:hAnsiTheme="majorBidi" w:cstheme="majorBidi"/>
          <w:sz w:val="24"/>
          <w:szCs w:val="24"/>
        </w:rPr>
        <w:t>Petersen E. “Toxoplasmosis” Semin Fetal Neonatal Med, 12(3) : 214 – 223(2007).</w:t>
      </w:r>
    </w:p>
    <w:p w14:paraId="59DC3BAB" w14:textId="77777777" w:rsidR="00FA168E" w:rsidRDefault="00C37C60"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28.</w:t>
      </w:r>
      <w:r w:rsidRPr="00C37C60">
        <w:rPr>
          <w:rFonts w:asciiTheme="majorBidi" w:eastAsia="Calibri" w:hAnsiTheme="majorBidi" w:cstheme="majorBidi"/>
          <w:sz w:val="24"/>
          <w:szCs w:val="24"/>
        </w:rPr>
        <w:t xml:space="preserve"> </w:t>
      </w:r>
      <w:proofErr w:type="spellStart"/>
      <w:r w:rsidR="00E341BF" w:rsidRPr="00E341BF">
        <w:rPr>
          <w:rFonts w:asciiTheme="majorBidi" w:eastAsia="Calibri" w:hAnsiTheme="majorBidi" w:cstheme="majorBidi"/>
          <w:sz w:val="24"/>
          <w:szCs w:val="24"/>
        </w:rPr>
        <w:t>Denkers</w:t>
      </w:r>
      <w:proofErr w:type="spellEnd"/>
      <w:r w:rsidR="00E341BF" w:rsidRPr="00E341BF">
        <w:rPr>
          <w:rFonts w:asciiTheme="majorBidi" w:eastAsia="Calibri" w:hAnsiTheme="majorBidi" w:cstheme="majorBidi"/>
          <w:sz w:val="24"/>
          <w:szCs w:val="24"/>
        </w:rPr>
        <w:t xml:space="preserve">, Eric Y., and Ricardo T. </w:t>
      </w:r>
      <w:proofErr w:type="spellStart"/>
      <w:r w:rsidR="00E341BF" w:rsidRPr="00E341BF">
        <w:rPr>
          <w:rFonts w:asciiTheme="majorBidi" w:eastAsia="Calibri" w:hAnsiTheme="majorBidi" w:cstheme="majorBidi"/>
          <w:sz w:val="24"/>
          <w:szCs w:val="24"/>
        </w:rPr>
        <w:t>Gazzinelli</w:t>
      </w:r>
      <w:proofErr w:type="spellEnd"/>
      <w:r w:rsidR="00E341BF" w:rsidRPr="00E341BF">
        <w:rPr>
          <w:rFonts w:asciiTheme="majorBidi" w:eastAsia="Calibri" w:hAnsiTheme="majorBidi" w:cstheme="majorBidi"/>
          <w:sz w:val="24"/>
          <w:szCs w:val="24"/>
        </w:rPr>
        <w:t>. "Regulation and function of T-cell-mediated immunity during Toxoplasma gondii infection." </w:t>
      </w:r>
      <w:r w:rsidR="00E341BF" w:rsidRPr="00E341BF">
        <w:rPr>
          <w:rFonts w:asciiTheme="majorBidi" w:eastAsia="Calibri" w:hAnsiTheme="majorBidi" w:cstheme="majorBidi"/>
          <w:i/>
          <w:iCs/>
          <w:sz w:val="24"/>
          <w:szCs w:val="24"/>
        </w:rPr>
        <w:t>Clinical microbiology reviews</w:t>
      </w:r>
      <w:r w:rsidR="00E341BF" w:rsidRPr="00E341BF">
        <w:rPr>
          <w:rFonts w:asciiTheme="majorBidi" w:eastAsia="Calibri" w:hAnsiTheme="majorBidi" w:cstheme="majorBidi"/>
          <w:sz w:val="24"/>
          <w:szCs w:val="24"/>
        </w:rPr>
        <w:t> 11.4 (1998): 569-588.</w:t>
      </w:r>
      <w:r w:rsidR="00E341BF" w:rsidRPr="00E341BF">
        <w:rPr>
          <w:rFonts w:asciiTheme="majorBidi" w:eastAsia="Calibri" w:hAnsiTheme="majorBidi" w:cstheme="majorBidi"/>
          <w:sz w:val="24"/>
          <w:szCs w:val="24"/>
          <w:rtl/>
        </w:rPr>
        <w:t>‏</w:t>
      </w:r>
    </w:p>
    <w:p w14:paraId="6314FF00" w14:textId="77777777" w:rsidR="00FA168E" w:rsidRDefault="00776A77"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29. </w:t>
      </w:r>
      <w:r w:rsidRPr="00776A77">
        <w:rPr>
          <w:rFonts w:asciiTheme="majorBidi" w:eastAsia="Calibri" w:hAnsiTheme="majorBidi" w:cstheme="majorBidi"/>
          <w:sz w:val="24"/>
          <w:szCs w:val="24"/>
        </w:rPr>
        <w:t xml:space="preserve">Wang J-L, Li T-T, </w:t>
      </w:r>
      <w:proofErr w:type="spellStart"/>
      <w:r w:rsidRPr="00776A77">
        <w:rPr>
          <w:rFonts w:asciiTheme="majorBidi" w:eastAsia="Calibri" w:hAnsiTheme="majorBidi" w:cstheme="majorBidi"/>
          <w:sz w:val="24"/>
          <w:szCs w:val="24"/>
        </w:rPr>
        <w:t>Elsheikha</w:t>
      </w:r>
      <w:proofErr w:type="spellEnd"/>
      <w:r w:rsidRPr="00776A77">
        <w:rPr>
          <w:rFonts w:asciiTheme="majorBidi" w:eastAsia="Calibri" w:hAnsiTheme="majorBidi" w:cstheme="majorBidi"/>
          <w:sz w:val="24"/>
          <w:szCs w:val="24"/>
        </w:rPr>
        <w:t xml:space="preserve"> HM, Chen K, Cong W, Yang W-B, et al. Live Attenuated </w:t>
      </w:r>
      <w:proofErr w:type="spellStart"/>
      <w:r w:rsidRPr="00776A77">
        <w:rPr>
          <w:rFonts w:asciiTheme="majorBidi" w:eastAsia="Calibri" w:hAnsiTheme="majorBidi" w:cstheme="majorBidi"/>
          <w:sz w:val="24"/>
          <w:szCs w:val="24"/>
        </w:rPr>
        <w:t>Pru</w:t>
      </w:r>
      <w:proofErr w:type="spellEnd"/>
      <w:r w:rsidRPr="00776A77">
        <w:rPr>
          <w:rFonts w:asciiTheme="majorBidi" w:eastAsia="Calibri" w:hAnsiTheme="majorBidi" w:cstheme="majorBidi"/>
          <w:sz w:val="24"/>
          <w:szCs w:val="24"/>
        </w:rPr>
        <w:t>: Δ cdpk2 Strain of Toxoplasma gondii Protects Against Acute, Chronic, and Congenital Toxoplasmosis. 2018;218(5):768-77.</w:t>
      </w:r>
    </w:p>
    <w:p w14:paraId="62D4367D" w14:textId="77777777" w:rsidR="00FA168E" w:rsidRDefault="00776A77"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30. </w:t>
      </w:r>
      <w:r w:rsidRPr="00776A77">
        <w:rPr>
          <w:rFonts w:asciiTheme="majorBidi" w:eastAsia="Calibri" w:hAnsiTheme="majorBidi" w:cstheme="majorBidi"/>
          <w:sz w:val="24"/>
          <w:szCs w:val="24"/>
        </w:rPr>
        <w:t>Santana SS, Paiva VF, Carvalho FR, Barros HLS, Silva TL, Barros PSC, et al. A peptide originated from Toxoplasma gondii microneme 8 displaying serological evidence to differentiate recent from chronic human infection. 2021:102394.</w:t>
      </w:r>
    </w:p>
    <w:p w14:paraId="52D2EE15" w14:textId="77777777" w:rsidR="00FA168E" w:rsidRDefault="00776A77"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31.</w:t>
      </w:r>
      <w:r w:rsidR="00D4557A">
        <w:rPr>
          <w:rFonts w:asciiTheme="majorBidi" w:eastAsia="Calibri" w:hAnsiTheme="majorBidi" w:cstheme="majorBidi"/>
          <w:sz w:val="24"/>
          <w:szCs w:val="24"/>
        </w:rPr>
        <w:t xml:space="preserve"> </w:t>
      </w:r>
      <w:proofErr w:type="spellStart"/>
      <w:r w:rsidRPr="00776A77">
        <w:rPr>
          <w:rFonts w:asciiTheme="majorBidi" w:eastAsia="Calibri" w:hAnsiTheme="majorBidi" w:cstheme="majorBidi"/>
          <w:sz w:val="24"/>
          <w:szCs w:val="24"/>
        </w:rPr>
        <w:t>Ybañez</w:t>
      </w:r>
      <w:proofErr w:type="spellEnd"/>
      <w:r w:rsidRPr="00776A77">
        <w:rPr>
          <w:rFonts w:asciiTheme="majorBidi" w:eastAsia="Calibri" w:hAnsiTheme="majorBidi" w:cstheme="majorBidi"/>
          <w:sz w:val="24"/>
          <w:szCs w:val="24"/>
        </w:rPr>
        <w:t xml:space="preserve"> RHD, </w:t>
      </w:r>
      <w:proofErr w:type="spellStart"/>
      <w:r w:rsidRPr="00776A77">
        <w:rPr>
          <w:rFonts w:asciiTheme="majorBidi" w:eastAsia="Calibri" w:hAnsiTheme="majorBidi" w:cstheme="majorBidi"/>
          <w:sz w:val="24"/>
          <w:szCs w:val="24"/>
        </w:rPr>
        <w:t>Ybañez</w:t>
      </w:r>
      <w:proofErr w:type="spellEnd"/>
      <w:r w:rsidRPr="00776A77">
        <w:rPr>
          <w:rFonts w:asciiTheme="majorBidi" w:eastAsia="Calibri" w:hAnsiTheme="majorBidi" w:cstheme="majorBidi"/>
          <w:sz w:val="24"/>
          <w:szCs w:val="24"/>
        </w:rPr>
        <w:t xml:space="preserve"> AP, Nishikawa </w:t>
      </w:r>
      <w:proofErr w:type="spellStart"/>
      <w:r w:rsidRPr="00776A77">
        <w:rPr>
          <w:rFonts w:asciiTheme="majorBidi" w:eastAsia="Calibri" w:hAnsiTheme="majorBidi" w:cstheme="majorBidi"/>
          <w:sz w:val="24"/>
          <w:szCs w:val="24"/>
        </w:rPr>
        <w:t>YJFiC</w:t>
      </w:r>
      <w:proofErr w:type="spellEnd"/>
      <w:r w:rsidRPr="00776A77">
        <w:rPr>
          <w:rFonts w:asciiTheme="majorBidi" w:eastAsia="Calibri" w:hAnsiTheme="majorBidi" w:cstheme="majorBidi"/>
          <w:sz w:val="24"/>
          <w:szCs w:val="24"/>
        </w:rPr>
        <w:t>, Microbiology I. Review on the current trends of toxoplasmosis serodiagnosis in humans. 2020;10:204.</w:t>
      </w:r>
    </w:p>
    <w:p w14:paraId="59E2CB27" w14:textId="77777777" w:rsidR="00FA168E" w:rsidRDefault="00776A77"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lastRenderedPageBreak/>
        <w:t xml:space="preserve">32. </w:t>
      </w:r>
      <w:r w:rsidRPr="00776A77">
        <w:rPr>
          <w:rFonts w:asciiTheme="majorBidi" w:eastAsia="Calibri" w:hAnsiTheme="majorBidi" w:cstheme="majorBidi"/>
          <w:sz w:val="24"/>
          <w:szCs w:val="24"/>
        </w:rPr>
        <w:t>Ripoll Pastor G. Chimeric synthetic peptides as diagnostic tools: a novel IgM-specific immunoassay for the diagnosis of toxoplasmosis: Driving innovation towards next generation IgM immunoassays 2021.</w:t>
      </w:r>
    </w:p>
    <w:p w14:paraId="18589227" w14:textId="77777777" w:rsidR="00FA168E" w:rsidRDefault="00093925"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33. </w:t>
      </w:r>
      <w:r w:rsidRPr="00093925">
        <w:rPr>
          <w:rFonts w:asciiTheme="majorBidi" w:eastAsia="Calibri" w:hAnsiTheme="majorBidi" w:cstheme="majorBidi"/>
          <w:sz w:val="24"/>
          <w:szCs w:val="24"/>
        </w:rPr>
        <w:t>Robert-</w:t>
      </w:r>
      <w:proofErr w:type="spellStart"/>
      <w:r w:rsidRPr="00093925">
        <w:rPr>
          <w:rFonts w:asciiTheme="majorBidi" w:eastAsia="Calibri" w:hAnsiTheme="majorBidi" w:cstheme="majorBidi"/>
          <w:sz w:val="24"/>
          <w:szCs w:val="24"/>
        </w:rPr>
        <w:t>Gangneux</w:t>
      </w:r>
      <w:proofErr w:type="spellEnd"/>
      <w:r w:rsidRPr="00093925">
        <w:rPr>
          <w:rFonts w:asciiTheme="majorBidi" w:eastAsia="Calibri" w:hAnsiTheme="majorBidi" w:cstheme="majorBidi"/>
          <w:sz w:val="24"/>
          <w:szCs w:val="24"/>
        </w:rPr>
        <w:t xml:space="preserve"> F, </w:t>
      </w:r>
      <w:proofErr w:type="spellStart"/>
      <w:r w:rsidRPr="00093925">
        <w:rPr>
          <w:rFonts w:asciiTheme="majorBidi" w:eastAsia="Calibri" w:hAnsiTheme="majorBidi" w:cstheme="majorBidi"/>
          <w:sz w:val="24"/>
          <w:szCs w:val="24"/>
        </w:rPr>
        <w:t>Dardé</w:t>
      </w:r>
      <w:proofErr w:type="spellEnd"/>
      <w:r w:rsidRPr="00093925">
        <w:rPr>
          <w:rFonts w:asciiTheme="majorBidi" w:eastAsia="Calibri" w:hAnsiTheme="majorBidi" w:cstheme="majorBidi"/>
          <w:sz w:val="24"/>
          <w:szCs w:val="24"/>
        </w:rPr>
        <w:t xml:space="preserve"> M-L. Epidemiology of and Diagnostic Strategies for Toxoplasmosis. 2012;25(2):264-96.</w:t>
      </w:r>
    </w:p>
    <w:p w14:paraId="761E1569" w14:textId="77777777" w:rsidR="00FA168E" w:rsidRDefault="00093925"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34. </w:t>
      </w:r>
      <w:r w:rsidRPr="00093925">
        <w:rPr>
          <w:rFonts w:asciiTheme="majorBidi" w:eastAsia="Calibri" w:hAnsiTheme="majorBidi" w:cstheme="majorBidi"/>
          <w:sz w:val="24"/>
          <w:szCs w:val="24"/>
        </w:rPr>
        <w:t xml:space="preserve">Khan AH, </w:t>
      </w:r>
      <w:proofErr w:type="spellStart"/>
      <w:r w:rsidRPr="00093925">
        <w:rPr>
          <w:rFonts w:asciiTheme="majorBidi" w:eastAsia="Calibri" w:hAnsiTheme="majorBidi" w:cstheme="majorBidi"/>
          <w:sz w:val="24"/>
          <w:szCs w:val="24"/>
        </w:rPr>
        <w:t>Noordin</w:t>
      </w:r>
      <w:proofErr w:type="spellEnd"/>
      <w:r w:rsidRPr="00093925">
        <w:rPr>
          <w:rFonts w:asciiTheme="majorBidi" w:eastAsia="Calibri" w:hAnsiTheme="majorBidi" w:cstheme="majorBidi"/>
          <w:sz w:val="24"/>
          <w:szCs w:val="24"/>
        </w:rPr>
        <w:t xml:space="preserve"> </w:t>
      </w:r>
      <w:proofErr w:type="spellStart"/>
      <w:r w:rsidRPr="00093925">
        <w:rPr>
          <w:rFonts w:asciiTheme="majorBidi" w:eastAsia="Calibri" w:hAnsiTheme="majorBidi" w:cstheme="majorBidi"/>
          <w:sz w:val="24"/>
          <w:szCs w:val="24"/>
        </w:rPr>
        <w:t>RJEJoCM</w:t>
      </w:r>
      <w:proofErr w:type="spellEnd"/>
      <w:r w:rsidRPr="00093925">
        <w:rPr>
          <w:rFonts w:asciiTheme="majorBidi" w:eastAsia="Calibri" w:hAnsiTheme="majorBidi" w:cstheme="majorBidi"/>
          <w:sz w:val="24"/>
          <w:szCs w:val="24"/>
        </w:rPr>
        <w:t>, Diseases I. Serological and molecular rapid diagnostic tests for Toxoplasma infection in humans and animals. 2020;39(1):19-30.</w:t>
      </w:r>
    </w:p>
    <w:p w14:paraId="5F1090BB" w14:textId="222EBD3A" w:rsidR="00093925" w:rsidRPr="00093925" w:rsidRDefault="00093925"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35. </w:t>
      </w:r>
      <w:proofErr w:type="spellStart"/>
      <w:r w:rsidRPr="00093925">
        <w:rPr>
          <w:rFonts w:asciiTheme="majorBidi" w:eastAsia="Calibri" w:hAnsiTheme="majorBidi" w:cstheme="majorBidi"/>
          <w:sz w:val="24"/>
          <w:szCs w:val="24"/>
        </w:rPr>
        <w:t>Khames</w:t>
      </w:r>
      <w:proofErr w:type="spellEnd"/>
      <w:r w:rsidRPr="00093925">
        <w:rPr>
          <w:rFonts w:asciiTheme="majorBidi" w:eastAsia="Calibri" w:hAnsiTheme="majorBidi" w:cstheme="majorBidi"/>
          <w:sz w:val="24"/>
          <w:szCs w:val="24"/>
        </w:rPr>
        <w:t xml:space="preserve"> M, </w:t>
      </w:r>
      <w:proofErr w:type="spellStart"/>
      <w:r w:rsidRPr="00093925">
        <w:rPr>
          <w:rFonts w:asciiTheme="majorBidi" w:eastAsia="Calibri" w:hAnsiTheme="majorBidi" w:cstheme="majorBidi"/>
          <w:sz w:val="24"/>
          <w:szCs w:val="24"/>
        </w:rPr>
        <w:t>Sihem</w:t>
      </w:r>
      <w:proofErr w:type="spellEnd"/>
      <w:r w:rsidRPr="00093925">
        <w:rPr>
          <w:rFonts w:asciiTheme="majorBidi" w:eastAsia="Calibri" w:hAnsiTheme="majorBidi" w:cstheme="majorBidi"/>
          <w:sz w:val="24"/>
          <w:szCs w:val="24"/>
        </w:rPr>
        <w:t xml:space="preserve"> S, </w:t>
      </w:r>
      <w:proofErr w:type="spellStart"/>
      <w:r w:rsidRPr="00093925">
        <w:rPr>
          <w:rFonts w:asciiTheme="majorBidi" w:eastAsia="Calibri" w:hAnsiTheme="majorBidi" w:cstheme="majorBidi"/>
          <w:sz w:val="24"/>
          <w:szCs w:val="24"/>
        </w:rPr>
        <w:t>Hizia</w:t>
      </w:r>
      <w:proofErr w:type="spellEnd"/>
      <w:r w:rsidRPr="00093925">
        <w:rPr>
          <w:rFonts w:asciiTheme="majorBidi" w:eastAsia="Calibri" w:hAnsiTheme="majorBidi" w:cstheme="majorBidi"/>
          <w:sz w:val="24"/>
          <w:szCs w:val="24"/>
        </w:rPr>
        <w:t xml:space="preserve"> H, </w:t>
      </w:r>
      <w:proofErr w:type="spellStart"/>
      <w:r w:rsidRPr="00093925">
        <w:rPr>
          <w:rFonts w:asciiTheme="majorBidi" w:eastAsia="Calibri" w:hAnsiTheme="majorBidi" w:cstheme="majorBidi"/>
          <w:sz w:val="24"/>
          <w:szCs w:val="24"/>
        </w:rPr>
        <w:t>Nguewa</w:t>
      </w:r>
      <w:proofErr w:type="spellEnd"/>
      <w:r w:rsidRPr="00093925">
        <w:rPr>
          <w:rFonts w:asciiTheme="majorBidi" w:eastAsia="Calibri" w:hAnsiTheme="majorBidi" w:cstheme="majorBidi"/>
          <w:sz w:val="24"/>
          <w:szCs w:val="24"/>
        </w:rPr>
        <w:t xml:space="preserve"> </w:t>
      </w:r>
      <w:proofErr w:type="spellStart"/>
      <w:r w:rsidRPr="00093925">
        <w:rPr>
          <w:rFonts w:asciiTheme="majorBidi" w:eastAsia="Calibri" w:hAnsiTheme="majorBidi" w:cstheme="majorBidi"/>
          <w:sz w:val="24"/>
          <w:szCs w:val="24"/>
        </w:rPr>
        <w:t>PJAoP</w:t>
      </w:r>
      <w:proofErr w:type="spellEnd"/>
      <w:r w:rsidRPr="00093925">
        <w:rPr>
          <w:rFonts w:asciiTheme="majorBidi" w:eastAsia="Calibri" w:hAnsiTheme="majorBidi" w:cstheme="majorBidi"/>
          <w:sz w:val="24"/>
          <w:szCs w:val="24"/>
        </w:rPr>
        <w:t>. High toxoplasmosis seroprevalence among young pregnant women in Medea, Algeria. 2020;66(4):509-15.</w:t>
      </w:r>
    </w:p>
    <w:p w14:paraId="340CA492" w14:textId="77777777" w:rsidR="00FA168E" w:rsidRDefault="00D84190" w:rsidP="00FA168E">
      <w:pPr>
        <w:spacing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36. </w:t>
      </w:r>
      <w:proofErr w:type="spellStart"/>
      <w:r w:rsidRPr="00D84190">
        <w:rPr>
          <w:rFonts w:asciiTheme="majorBidi" w:eastAsia="Calibri" w:hAnsiTheme="majorBidi" w:cstheme="majorBidi"/>
          <w:sz w:val="24"/>
          <w:szCs w:val="24"/>
        </w:rPr>
        <w:t>Devakumar</w:t>
      </w:r>
      <w:proofErr w:type="spellEnd"/>
      <w:r w:rsidRPr="00D84190">
        <w:rPr>
          <w:rFonts w:asciiTheme="majorBidi" w:eastAsia="Calibri" w:hAnsiTheme="majorBidi" w:cstheme="majorBidi"/>
          <w:sz w:val="24"/>
          <w:szCs w:val="24"/>
        </w:rPr>
        <w:t xml:space="preserve"> D, Bamford A, Ferreira MU, Broad J, Rosch RE, </w:t>
      </w:r>
      <w:proofErr w:type="spellStart"/>
      <w:r w:rsidRPr="00D84190">
        <w:rPr>
          <w:rFonts w:asciiTheme="majorBidi" w:eastAsia="Calibri" w:hAnsiTheme="majorBidi" w:cstheme="majorBidi"/>
          <w:sz w:val="24"/>
          <w:szCs w:val="24"/>
        </w:rPr>
        <w:t>Groce</w:t>
      </w:r>
      <w:proofErr w:type="spellEnd"/>
      <w:r w:rsidRPr="00D84190">
        <w:rPr>
          <w:rFonts w:asciiTheme="majorBidi" w:eastAsia="Calibri" w:hAnsiTheme="majorBidi" w:cstheme="majorBidi"/>
          <w:sz w:val="24"/>
          <w:szCs w:val="24"/>
        </w:rPr>
        <w:t xml:space="preserve"> N, et al. Infectious causes of microcephaly: epidemiology, pathogenesis, diagnosis, and management. 2018;18(1):e1-e13.</w:t>
      </w:r>
    </w:p>
    <w:p w14:paraId="58461A93" w14:textId="77777777" w:rsidR="00FA168E" w:rsidRDefault="00D84190"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37.</w:t>
      </w:r>
      <w:r w:rsidR="00A91D60">
        <w:rPr>
          <w:rFonts w:asciiTheme="majorBidi" w:eastAsia="Calibri" w:hAnsiTheme="majorBidi" w:cstheme="majorBidi"/>
          <w:sz w:val="24"/>
          <w:szCs w:val="24"/>
        </w:rPr>
        <w:t xml:space="preserve"> </w:t>
      </w:r>
      <w:r w:rsidRPr="00D84190">
        <w:rPr>
          <w:rFonts w:asciiTheme="majorBidi" w:eastAsia="Calibri" w:hAnsiTheme="majorBidi" w:cstheme="majorBidi"/>
          <w:sz w:val="24"/>
          <w:szCs w:val="24"/>
        </w:rPr>
        <w:t>Robert-</w:t>
      </w:r>
      <w:proofErr w:type="spellStart"/>
      <w:r w:rsidRPr="00D84190">
        <w:rPr>
          <w:rFonts w:asciiTheme="majorBidi" w:eastAsia="Calibri" w:hAnsiTheme="majorBidi" w:cstheme="majorBidi"/>
          <w:sz w:val="24"/>
          <w:szCs w:val="24"/>
        </w:rPr>
        <w:t>Gangneux</w:t>
      </w:r>
      <w:proofErr w:type="spellEnd"/>
      <w:r w:rsidRPr="00D84190">
        <w:rPr>
          <w:rFonts w:asciiTheme="majorBidi" w:eastAsia="Calibri" w:hAnsiTheme="majorBidi" w:cstheme="majorBidi"/>
          <w:sz w:val="24"/>
          <w:szCs w:val="24"/>
        </w:rPr>
        <w:t xml:space="preserve"> F, </w:t>
      </w:r>
      <w:proofErr w:type="spellStart"/>
      <w:r w:rsidRPr="00D84190">
        <w:rPr>
          <w:rFonts w:asciiTheme="majorBidi" w:eastAsia="Calibri" w:hAnsiTheme="majorBidi" w:cstheme="majorBidi"/>
          <w:sz w:val="24"/>
          <w:szCs w:val="24"/>
        </w:rPr>
        <w:t>Guegan</w:t>
      </w:r>
      <w:proofErr w:type="spellEnd"/>
      <w:r w:rsidRPr="00D84190">
        <w:rPr>
          <w:rFonts w:asciiTheme="majorBidi" w:eastAsia="Calibri" w:hAnsiTheme="majorBidi" w:cstheme="majorBidi"/>
          <w:sz w:val="24"/>
          <w:szCs w:val="24"/>
        </w:rPr>
        <w:t xml:space="preserve"> HJP. Anti-Toxoplasma IgG assays: What performances for what purpose? A systematic review. 2021;28.</w:t>
      </w:r>
    </w:p>
    <w:p w14:paraId="775CD860" w14:textId="77777777" w:rsidR="00FA168E" w:rsidRDefault="00D84190"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38. </w:t>
      </w:r>
      <w:proofErr w:type="spellStart"/>
      <w:r w:rsidRPr="00D84190">
        <w:rPr>
          <w:rFonts w:asciiTheme="majorBidi" w:eastAsia="Calibri" w:hAnsiTheme="majorBidi" w:cstheme="majorBidi"/>
          <w:sz w:val="24"/>
          <w:szCs w:val="24"/>
        </w:rPr>
        <w:t>Teimouri</w:t>
      </w:r>
      <w:proofErr w:type="spellEnd"/>
      <w:r w:rsidRPr="00D84190">
        <w:rPr>
          <w:rFonts w:asciiTheme="majorBidi" w:eastAsia="Calibri" w:hAnsiTheme="majorBidi" w:cstheme="majorBidi"/>
          <w:sz w:val="24"/>
          <w:szCs w:val="24"/>
        </w:rPr>
        <w:t xml:space="preserve"> A, </w:t>
      </w:r>
      <w:proofErr w:type="spellStart"/>
      <w:r w:rsidRPr="00D84190">
        <w:rPr>
          <w:rFonts w:asciiTheme="majorBidi" w:eastAsia="Calibri" w:hAnsiTheme="majorBidi" w:cstheme="majorBidi"/>
          <w:sz w:val="24"/>
          <w:szCs w:val="24"/>
        </w:rPr>
        <w:t>Mohtasebi</w:t>
      </w:r>
      <w:proofErr w:type="spellEnd"/>
      <w:r w:rsidRPr="00D84190">
        <w:rPr>
          <w:rFonts w:asciiTheme="majorBidi" w:eastAsia="Calibri" w:hAnsiTheme="majorBidi" w:cstheme="majorBidi"/>
          <w:sz w:val="24"/>
          <w:szCs w:val="24"/>
        </w:rPr>
        <w:t xml:space="preserve"> S, </w:t>
      </w:r>
      <w:proofErr w:type="spellStart"/>
      <w:r w:rsidRPr="00D84190">
        <w:rPr>
          <w:rFonts w:asciiTheme="majorBidi" w:eastAsia="Calibri" w:hAnsiTheme="majorBidi" w:cstheme="majorBidi"/>
          <w:sz w:val="24"/>
          <w:szCs w:val="24"/>
        </w:rPr>
        <w:t>Kazemirad</w:t>
      </w:r>
      <w:proofErr w:type="spellEnd"/>
      <w:r w:rsidRPr="00D84190">
        <w:rPr>
          <w:rFonts w:asciiTheme="majorBidi" w:eastAsia="Calibri" w:hAnsiTheme="majorBidi" w:cstheme="majorBidi"/>
          <w:sz w:val="24"/>
          <w:szCs w:val="24"/>
        </w:rPr>
        <w:t xml:space="preserve"> E, Keshavarz </w:t>
      </w:r>
      <w:proofErr w:type="spellStart"/>
      <w:r w:rsidRPr="00D84190">
        <w:rPr>
          <w:rFonts w:asciiTheme="majorBidi" w:eastAsia="Calibri" w:hAnsiTheme="majorBidi" w:cstheme="majorBidi"/>
          <w:sz w:val="24"/>
          <w:szCs w:val="24"/>
        </w:rPr>
        <w:t>HJJocm</w:t>
      </w:r>
      <w:proofErr w:type="spellEnd"/>
      <w:r w:rsidRPr="00D84190">
        <w:rPr>
          <w:rFonts w:asciiTheme="majorBidi" w:eastAsia="Calibri" w:hAnsiTheme="majorBidi" w:cstheme="majorBidi"/>
          <w:sz w:val="24"/>
          <w:szCs w:val="24"/>
        </w:rPr>
        <w:t>. Role of Toxoplasma gondii IgG avidity testing in discriminating between acute and chronic toxoplasmosis in pregnancy. 2020;58(9):e00505-20.</w:t>
      </w:r>
    </w:p>
    <w:p w14:paraId="146CAF95" w14:textId="77777777" w:rsidR="00FA168E" w:rsidRDefault="00B16068"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39.</w:t>
      </w:r>
      <w:r w:rsidR="00A91D60">
        <w:rPr>
          <w:rFonts w:asciiTheme="majorBidi" w:eastAsia="Calibri" w:hAnsiTheme="majorBidi" w:cstheme="majorBidi"/>
          <w:sz w:val="24"/>
          <w:szCs w:val="24"/>
        </w:rPr>
        <w:t xml:space="preserve"> </w:t>
      </w:r>
      <w:proofErr w:type="spellStart"/>
      <w:r w:rsidR="00E341BF" w:rsidRPr="00E341BF">
        <w:rPr>
          <w:rFonts w:asciiTheme="majorBidi" w:eastAsia="Calibri" w:hAnsiTheme="majorBidi" w:cstheme="majorBidi"/>
          <w:sz w:val="24"/>
          <w:szCs w:val="24"/>
        </w:rPr>
        <w:t>Oudah</w:t>
      </w:r>
      <w:proofErr w:type="spellEnd"/>
      <w:r w:rsidR="00E341BF" w:rsidRPr="00E341BF">
        <w:rPr>
          <w:rFonts w:asciiTheme="majorBidi" w:eastAsia="Calibri" w:hAnsiTheme="majorBidi" w:cstheme="majorBidi"/>
          <w:sz w:val="24"/>
          <w:szCs w:val="24"/>
        </w:rPr>
        <w:t xml:space="preserve">, </w:t>
      </w:r>
      <w:proofErr w:type="spellStart"/>
      <w:r w:rsidR="00E341BF" w:rsidRPr="00E341BF">
        <w:rPr>
          <w:rFonts w:asciiTheme="majorBidi" w:eastAsia="Calibri" w:hAnsiTheme="majorBidi" w:cstheme="majorBidi"/>
          <w:sz w:val="24"/>
          <w:szCs w:val="24"/>
        </w:rPr>
        <w:t>Narjis</w:t>
      </w:r>
      <w:proofErr w:type="spellEnd"/>
      <w:r w:rsidR="00E341BF" w:rsidRPr="00E341BF">
        <w:rPr>
          <w:rFonts w:asciiTheme="majorBidi" w:eastAsia="Calibri" w:hAnsiTheme="majorBidi" w:cstheme="majorBidi"/>
          <w:sz w:val="24"/>
          <w:szCs w:val="24"/>
        </w:rPr>
        <w:t xml:space="preserve"> Abdul Rahman, Kareem S. </w:t>
      </w:r>
      <w:proofErr w:type="spellStart"/>
      <w:r w:rsidR="00E341BF" w:rsidRPr="00E341BF">
        <w:rPr>
          <w:rFonts w:asciiTheme="majorBidi" w:eastAsia="Calibri" w:hAnsiTheme="majorBidi" w:cstheme="majorBidi"/>
          <w:sz w:val="24"/>
          <w:szCs w:val="24"/>
        </w:rPr>
        <w:t>Chead</w:t>
      </w:r>
      <w:proofErr w:type="spellEnd"/>
      <w:r w:rsidR="00E341BF" w:rsidRPr="00E341BF">
        <w:rPr>
          <w:rFonts w:asciiTheme="majorBidi" w:eastAsia="Calibri" w:hAnsiTheme="majorBidi" w:cstheme="majorBidi"/>
          <w:sz w:val="24"/>
          <w:szCs w:val="24"/>
        </w:rPr>
        <w:t xml:space="preserve"> Al-</w:t>
      </w:r>
      <w:proofErr w:type="spellStart"/>
      <w:r w:rsidR="00E341BF" w:rsidRPr="00E341BF">
        <w:rPr>
          <w:rFonts w:asciiTheme="majorBidi" w:eastAsia="Calibri" w:hAnsiTheme="majorBidi" w:cstheme="majorBidi"/>
          <w:sz w:val="24"/>
          <w:szCs w:val="24"/>
        </w:rPr>
        <w:t>Teea</w:t>
      </w:r>
      <w:proofErr w:type="spellEnd"/>
      <w:r w:rsidR="00E341BF" w:rsidRPr="00E341BF">
        <w:rPr>
          <w:rFonts w:asciiTheme="majorBidi" w:eastAsia="Calibri" w:hAnsiTheme="majorBidi" w:cstheme="majorBidi"/>
          <w:sz w:val="24"/>
          <w:szCs w:val="24"/>
        </w:rPr>
        <w:t>, and Ahmed A. Mohammed. "Using the Level of Serum YKL-40 as an Indicator to the Pathogenesis of Allergic Asthma and Helminths Infection." </w:t>
      </w:r>
      <w:r w:rsidR="00E341BF" w:rsidRPr="00E341BF">
        <w:rPr>
          <w:rFonts w:asciiTheme="majorBidi" w:eastAsia="Calibri" w:hAnsiTheme="majorBidi" w:cstheme="majorBidi"/>
          <w:i/>
          <w:iCs/>
          <w:sz w:val="24"/>
          <w:szCs w:val="24"/>
        </w:rPr>
        <w:t>Indian Journal of Public Health Research &amp; Development</w:t>
      </w:r>
      <w:r w:rsidR="00E341BF" w:rsidRPr="00E341BF">
        <w:rPr>
          <w:rFonts w:asciiTheme="majorBidi" w:eastAsia="Calibri" w:hAnsiTheme="majorBidi" w:cstheme="majorBidi"/>
          <w:sz w:val="24"/>
          <w:szCs w:val="24"/>
        </w:rPr>
        <w:t> 10.10 (2019).</w:t>
      </w:r>
      <w:r w:rsidR="00E341BF" w:rsidRPr="00E341BF">
        <w:rPr>
          <w:rFonts w:asciiTheme="majorBidi" w:eastAsia="Calibri" w:hAnsiTheme="majorBidi" w:cstheme="majorBidi"/>
          <w:sz w:val="24"/>
          <w:szCs w:val="24"/>
          <w:rtl/>
        </w:rPr>
        <w:t>‏</w:t>
      </w:r>
    </w:p>
    <w:p w14:paraId="35F40266" w14:textId="77777777" w:rsidR="00FA168E" w:rsidRDefault="00B16068"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40.</w:t>
      </w:r>
      <w:r w:rsidR="00D4557A">
        <w:rPr>
          <w:rFonts w:asciiTheme="majorBidi" w:eastAsia="Calibri" w:hAnsiTheme="majorBidi" w:cstheme="majorBidi"/>
          <w:sz w:val="24"/>
          <w:szCs w:val="24"/>
        </w:rPr>
        <w:t xml:space="preserve"> </w:t>
      </w:r>
      <w:r w:rsidR="00963B30" w:rsidRPr="00963B30">
        <w:rPr>
          <w:rFonts w:asciiTheme="majorBidi" w:eastAsia="Calibri" w:hAnsiTheme="majorBidi" w:cstheme="majorBidi"/>
          <w:sz w:val="24"/>
          <w:szCs w:val="24"/>
        </w:rPr>
        <w:t>Zhao, Ting, et al. "Chitinase-3 like-protein-1 function and its role in diseases." </w:t>
      </w:r>
      <w:r w:rsidR="00963B30" w:rsidRPr="00963B30">
        <w:rPr>
          <w:rFonts w:asciiTheme="majorBidi" w:eastAsia="Calibri" w:hAnsiTheme="majorBidi" w:cstheme="majorBidi"/>
          <w:i/>
          <w:iCs/>
          <w:sz w:val="24"/>
          <w:szCs w:val="24"/>
        </w:rPr>
        <w:t>Signal Transduction and Targeted Therapy</w:t>
      </w:r>
      <w:r w:rsidR="00963B30" w:rsidRPr="00963B30">
        <w:rPr>
          <w:rFonts w:asciiTheme="majorBidi" w:eastAsia="Calibri" w:hAnsiTheme="majorBidi" w:cstheme="majorBidi"/>
          <w:sz w:val="24"/>
          <w:szCs w:val="24"/>
        </w:rPr>
        <w:t> 5.1 (2020): 1-20.</w:t>
      </w:r>
      <w:r w:rsidR="00963B30" w:rsidRPr="00963B30">
        <w:rPr>
          <w:rFonts w:asciiTheme="majorBidi" w:eastAsia="Calibri" w:hAnsiTheme="majorBidi" w:cstheme="majorBidi"/>
          <w:sz w:val="24"/>
          <w:szCs w:val="24"/>
          <w:rtl/>
        </w:rPr>
        <w:t>‏</w:t>
      </w:r>
    </w:p>
    <w:p w14:paraId="1C57C6C5" w14:textId="77777777" w:rsidR="00FA168E" w:rsidRDefault="00B16068"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41.</w:t>
      </w:r>
      <w:r w:rsidRPr="00B16068">
        <w:rPr>
          <w:rFonts w:asciiTheme="majorBidi" w:eastAsia="Calibri" w:hAnsiTheme="majorBidi" w:cstheme="majorBidi"/>
          <w:sz w:val="24"/>
          <w:szCs w:val="24"/>
        </w:rPr>
        <w:t xml:space="preserve"> </w:t>
      </w:r>
      <w:r w:rsidR="00963B30" w:rsidRPr="00963B30">
        <w:rPr>
          <w:rFonts w:asciiTheme="majorBidi" w:eastAsia="Calibri" w:hAnsiTheme="majorBidi" w:cstheme="majorBidi"/>
          <w:sz w:val="24"/>
          <w:szCs w:val="24"/>
        </w:rPr>
        <w:t>Salomon, Joanna, et al. "Chitinase-3-like protein 1 (ykl-40) reflects the severity of symptoms in atopic dermatitis." </w:t>
      </w:r>
      <w:r w:rsidR="00963B30" w:rsidRPr="00963B30">
        <w:rPr>
          <w:rFonts w:asciiTheme="majorBidi" w:eastAsia="Calibri" w:hAnsiTheme="majorBidi" w:cstheme="majorBidi"/>
          <w:i/>
          <w:iCs/>
          <w:sz w:val="24"/>
          <w:szCs w:val="24"/>
        </w:rPr>
        <w:t>Journal of immunology research</w:t>
      </w:r>
      <w:r w:rsidR="00963B30" w:rsidRPr="00963B30">
        <w:rPr>
          <w:rFonts w:asciiTheme="majorBidi" w:eastAsia="Calibri" w:hAnsiTheme="majorBidi" w:cstheme="majorBidi"/>
          <w:sz w:val="24"/>
          <w:szCs w:val="24"/>
        </w:rPr>
        <w:t> 2017 (2017).</w:t>
      </w:r>
      <w:r w:rsidR="00963B30" w:rsidRPr="00963B30">
        <w:rPr>
          <w:rFonts w:asciiTheme="majorBidi" w:eastAsia="Calibri" w:hAnsiTheme="majorBidi" w:cstheme="majorBidi"/>
          <w:sz w:val="24"/>
          <w:szCs w:val="24"/>
          <w:rtl/>
        </w:rPr>
        <w:t>‏</w:t>
      </w:r>
    </w:p>
    <w:p w14:paraId="1A97BC0B" w14:textId="77777777" w:rsidR="00FA168E" w:rsidRDefault="00B16068"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42. </w:t>
      </w:r>
      <w:r w:rsidRPr="00B16068">
        <w:rPr>
          <w:rFonts w:asciiTheme="majorBidi" w:eastAsia="Calibri" w:hAnsiTheme="majorBidi" w:cstheme="majorBidi"/>
          <w:sz w:val="24"/>
          <w:szCs w:val="24"/>
        </w:rPr>
        <w:t xml:space="preserve">Gurung R, Choong AM, Woo CC, Foo R, Sorokin </w:t>
      </w:r>
      <w:proofErr w:type="spellStart"/>
      <w:r w:rsidRPr="00B16068">
        <w:rPr>
          <w:rFonts w:asciiTheme="majorBidi" w:eastAsia="Calibri" w:hAnsiTheme="majorBidi" w:cstheme="majorBidi"/>
          <w:sz w:val="24"/>
          <w:szCs w:val="24"/>
        </w:rPr>
        <w:t>VJIjoms</w:t>
      </w:r>
      <w:proofErr w:type="spellEnd"/>
      <w:r w:rsidRPr="00B16068">
        <w:rPr>
          <w:rFonts w:asciiTheme="majorBidi" w:eastAsia="Calibri" w:hAnsiTheme="majorBidi" w:cstheme="majorBidi"/>
          <w:sz w:val="24"/>
          <w:szCs w:val="24"/>
        </w:rPr>
        <w:t>. Genetic and epigenetic mechanisms underlying vascular smooth muscle cell phenotypic modulation in abdominal aortic aneurysm. 2020;21(17):6334.</w:t>
      </w:r>
    </w:p>
    <w:p w14:paraId="320FDA98" w14:textId="77777777" w:rsidR="00FA168E" w:rsidRDefault="00B16068"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43.</w:t>
      </w:r>
      <w:r w:rsidRPr="00B16068">
        <w:rPr>
          <w:rFonts w:asciiTheme="majorBidi" w:eastAsia="Calibri" w:hAnsiTheme="majorBidi" w:cstheme="majorBidi"/>
          <w:sz w:val="24"/>
          <w:szCs w:val="24"/>
        </w:rPr>
        <w:t xml:space="preserve"> </w:t>
      </w:r>
      <w:r w:rsidR="00963B30" w:rsidRPr="00963B30">
        <w:rPr>
          <w:rFonts w:asciiTheme="majorBidi" w:eastAsia="Calibri" w:hAnsiTheme="majorBidi" w:cstheme="majorBidi"/>
          <w:sz w:val="24"/>
          <w:szCs w:val="24"/>
        </w:rPr>
        <w:t>Majewski, Sebastian, et al. "Longitudinal and comparative measures of serum chitotriosidase and YKL-40 in patients with idiopathic pulmonary fibrosis." </w:t>
      </w:r>
      <w:r w:rsidR="00963B30" w:rsidRPr="00963B30">
        <w:rPr>
          <w:rFonts w:asciiTheme="majorBidi" w:eastAsia="Calibri" w:hAnsiTheme="majorBidi" w:cstheme="majorBidi"/>
          <w:i/>
          <w:iCs/>
          <w:sz w:val="24"/>
          <w:szCs w:val="24"/>
        </w:rPr>
        <w:t>Frontiers in immunology</w:t>
      </w:r>
      <w:r w:rsidR="00963B30" w:rsidRPr="00963B30">
        <w:rPr>
          <w:rFonts w:asciiTheme="majorBidi" w:eastAsia="Calibri" w:hAnsiTheme="majorBidi" w:cstheme="majorBidi"/>
          <w:sz w:val="24"/>
          <w:szCs w:val="24"/>
        </w:rPr>
        <w:t> (2022): 421.</w:t>
      </w:r>
      <w:r w:rsidR="00963B30" w:rsidRPr="00963B30">
        <w:rPr>
          <w:rFonts w:asciiTheme="majorBidi" w:eastAsia="Calibri" w:hAnsiTheme="majorBidi" w:cstheme="majorBidi"/>
          <w:sz w:val="24"/>
          <w:szCs w:val="24"/>
          <w:rtl/>
        </w:rPr>
        <w:t>‏</w:t>
      </w:r>
    </w:p>
    <w:p w14:paraId="7A60211E" w14:textId="77777777" w:rsidR="00FA168E" w:rsidRDefault="00B16068" w:rsidP="00FA168E">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44. </w:t>
      </w:r>
      <w:r w:rsidR="00963B30" w:rsidRPr="00963B30">
        <w:rPr>
          <w:rFonts w:asciiTheme="majorBidi" w:eastAsia="Calibri" w:hAnsiTheme="majorBidi" w:cstheme="majorBidi"/>
          <w:sz w:val="24"/>
          <w:szCs w:val="24"/>
        </w:rPr>
        <w:t xml:space="preserve">Lee, Chun </w:t>
      </w:r>
      <w:proofErr w:type="spellStart"/>
      <w:r w:rsidR="00963B30" w:rsidRPr="00963B30">
        <w:rPr>
          <w:rFonts w:asciiTheme="majorBidi" w:eastAsia="Calibri" w:hAnsiTheme="majorBidi" w:cstheme="majorBidi"/>
          <w:sz w:val="24"/>
          <w:szCs w:val="24"/>
        </w:rPr>
        <w:t>Geun</w:t>
      </w:r>
      <w:proofErr w:type="spellEnd"/>
      <w:r w:rsidR="00963B30" w:rsidRPr="00963B30">
        <w:rPr>
          <w:rFonts w:asciiTheme="majorBidi" w:eastAsia="Calibri" w:hAnsiTheme="majorBidi" w:cstheme="majorBidi"/>
          <w:sz w:val="24"/>
          <w:szCs w:val="24"/>
        </w:rPr>
        <w:t>, and Jack A. Elias. "Role of breast regression protein-39/YKL-40 in asthma and allergic responses." </w:t>
      </w:r>
      <w:r w:rsidR="00963B30" w:rsidRPr="00963B30">
        <w:rPr>
          <w:rFonts w:asciiTheme="majorBidi" w:eastAsia="Calibri" w:hAnsiTheme="majorBidi" w:cstheme="majorBidi"/>
          <w:i/>
          <w:iCs/>
          <w:sz w:val="24"/>
          <w:szCs w:val="24"/>
        </w:rPr>
        <w:t>Allergy, asthma &amp; immunology research</w:t>
      </w:r>
      <w:r w:rsidR="00963B30" w:rsidRPr="00963B30">
        <w:rPr>
          <w:rFonts w:asciiTheme="majorBidi" w:eastAsia="Calibri" w:hAnsiTheme="majorBidi" w:cstheme="majorBidi"/>
          <w:sz w:val="24"/>
          <w:szCs w:val="24"/>
        </w:rPr>
        <w:t> 2.1 (2010): 20-27.</w:t>
      </w:r>
      <w:r w:rsidR="00963B30" w:rsidRPr="00963B30">
        <w:rPr>
          <w:rFonts w:asciiTheme="majorBidi" w:eastAsia="Calibri" w:hAnsiTheme="majorBidi" w:cstheme="majorBidi"/>
          <w:sz w:val="24"/>
          <w:szCs w:val="24"/>
          <w:rtl/>
        </w:rPr>
        <w:t>‏</w:t>
      </w:r>
    </w:p>
    <w:p w14:paraId="160FF562" w14:textId="77777777" w:rsidR="006B7A14" w:rsidRDefault="00F04DDB" w:rsidP="006B7A14">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lang w:val="en"/>
        </w:rPr>
        <w:lastRenderedPageBreak/>
        <w:t xml:space="preserve">45. </w:t>
      </w:r>
      <w:proofErr w:type="spellStart"/>
      <w:r w:rsidR="006A12F1" w:rsidRPr="006A12F1">
        <w:rPr>
          <w:rFonts w:asciiTheme="majorBidi" w:eastAsia="Calibri" w:hAnsiTheme="majorBidi" w:cstheme="majorBidi"/>
          <w:sz w:val="24"/>
          <w:szCs w:val="24"/>
        </w:rPr>
        <w:t>Giraldo</w:t>
      </w:r>
      <w:proofErr w:type="spellEnd"/>
      <w:r w:rsidR="006A12F1" w:rsidRPr="006A12F1">
        <w:rPr>
          <w:rFonts w:asciiTheme="majorBidi" w:eastAsia="Calibri" w:hAnsiTheme="majorBidi" w:cstheme="majorBidi"/>
          <w:sz w:val="24"/>
          <w:szCs w:val="24"/>
        </w:rPr>
        <w:t xml:space="preserve">, </w:t>
      </w:r>
      <w:proofErr w:type="spellStart"/>
      <w:r w:rsidR="006A12F1" w:rsidRPr="006A12F1">
        <w:rPr>
          <w:rFonts w:asciiTheme="majorBidi" w:eastAsia="Calibri" w:hAnsiTheme="majorBidi" w:cstheme="majorBidi"/>
          <w:sz w:val="24"/>
          <w:szCs w:val="24"/>
        </w:rPr>
        <w:t>Mónica</w:t>
      </w:r>
      <w:proofErr w:type="spellEnd"/>
      <w:r w:rsidR="006A12F1" w:rsidRPr="006A12F1">
        <w:rPr>
          <w:rFonts w:asciiTheme="majorBidi" w:eastAsia="Calibri" w:hAnsiTheme="majorBidi" w:cstheme="majorBidi"/>
          <w:sz w:val="24"/>
          <w:szCs w:val="24"/>
        </w:rPr>
        <w:t>, et al. "Fractionation of membrane components from tachyzoite forms of Toxoplasma gondii: differential recognition by immunoglobulin M (IgM) and IgG present in sera from patients with acute or chronic toxoplasmosis." </w:t>
      </w:r>
      <w:r w:rsidR="006A12F1" w:rsidRPr="006A12F1">
        <w:rPr>
          <w:rFonts w:asciiTheme="majorBidi" w:eastAsia="Calibri" w:hAnsiTheme="majorBidi" w:cstheme="majorBidi"/>
          <w:i/>
          <w:iCs/>
          <w:sz w:val="24"/>
          <w:szCs w:val="24"/>
        </w:rPr>
        <w:t>Journal of clinical microbiology</w:t>
      </w:r>
      <w:r w:rsidR="006A12F1" w:rsidRPr="006A12F1">
        <w:rPr>
          <w:rFonts w:asciiTheme="majorBidi" w:eastAsia="Calibri" w:hAnsiTheme="majorBidi" w:cstheme="majorBidi"/>
          <w:sz w:val="24"/>
          <w:szCs w:val="24"/>
        </w:rPr>
        <w:t> 38.4 (2000): 1453-1460.</w:t>
      </w:r>
      <w:r w:rsidR="006A12F1" w:rsidRPr="006A12F1">
        <w:rPr>
          <w:rFonts w:asciiTheme="majorBidi" w:eastAsia="Calibri" w:hAnsiTheme="majorBidi" w:cstheme="majorBidi"/>
          <w:sz w:val="24"/>
          <w:szCs w:val="24"/>
          <w:rtl/>
          <w:lang w:val="en"/>
        </w:rPr>
        <w:t>‏</w:t>
      </w:r>
    </w:p>
    <w:p w14:paraId="53DDF03B" w14:textId="77777777" w:rsidR="006B7A14" w:rsidRDefault="00F04DDB" w:rsidP="006B7A14">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46.</w:t>
      </w:r>
      <w:r w:rsidRPr="00F04DDB">
        <w:rPr>
          <w:rFonts w:asciiTheme="majorBidi" w:eastAsia="Calibri" w:hAnsiTheme="majorBidi" w:cstheme="majorBidi"/>
          <w:sz w:val="24"/>
          <w:szCs w:val="24"/>
        </w:rPr>
        <w:t xml:space="preserve"> </w:t>
      </w:r>
      <w:r w:rsidR="006A12F1" w:rsidRPr="006A12F1">
        <w:rPr>
          <w:rFonts w:asciiTheme="majorBidi" w:eastAsia="Calibri" w:hAnsiTheme="majorBidi" w:cstheme="majorBidi"/>
          <w:sz w:val="24"/>
          <w:szCs w:val="24"/>
        </w:rPr>
        <w:t>Villard, O., et al. "Serological diagnosis of Toxoplasma gondii infection: recommendations from the French National Reference Center for Toxoplasmosis." </w:t>
      </w:r>
      <w:r w:rsidR="006A12F1" w:rsidRPr="006A12F1">
        <w:rPr>
          <w:rFonts w:asciiTheme="majorBidi" w:eastAsia="Calibri" w:hAnsiTheme="majorBidi" w:cstheme="majorBidi"/>
          <w:i/>
          <w:iCs/>
          <w:sz w:val="24"/>
          <w:szCs w:val="24"/>
        </w:rPr>
        <w:t>Diagnostic Microbiology and Infectious Disease</w:t>
      </w:r>
      <w:r w:rsidR="006A12F1" w:rsidRPr="006A12F1">
        <w:rPr>
          <w:rFonts w:asciiTheme="majorBidi" w:eastAsia="Calibri" w:hAnsiTheme="majorBidi" w:cstheme="majorBidi"/>
          <w:sz w:val="24"/>
          <w:szCs w:val="24"/>
        </w:rPr>
        <w:t> 84.1 (2016): 22-33.</w:t>
      </w:r>
      <w:r w:rsidR="006A12F1" w:rsidRPr="006A12F1">
        <w:rPr>
          <w:rFonts w:asciiTheme="majorBidi" w:eastAsia="Calibri" w:hAnsiTheme="majorBidi" w:cstheme="majorBidi"/>
          <w:sz w:val="24"/>
          <w:szCs w:val="24"/>
          <w:rtl/>
        </w:rPr>
        <w:t>‏</w:t>
      </w:r>
    </w:p>
    <w:p w14:paraId="19BA0012" w14:textId="77777777" w:rsidR="006B7A14" w:rsidRDefault="00F04DDB" w:rsidP="006B7A14">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47. </w:t>
      </w:r>
      <w:proofErr w:type="spellStart"/>
      <w:r w:rsidR="006A12F1" w:rsidRPr="006A12F1">
        <w:rPr>
          <w:rFonts w:asciiTheme="majorBidi" w:eastAsia="Calibri" w:hAnsiTheme="majorBidi" w:cstheme="majorBidi"/>
          <w:sz w:val="24"/>
          <w:szCs w:val="24"/>
        </w:rPr>
        <w:t>Giraldo</w:t>
      </w:r>
      <w:proofErr w:type="spellEnd"/>
      <w:r w:rsidR="006A12F1" w:rsidRPr="006A12F1">
        <w:rPr>
          <w:rFonts w:asciiTheme="majorBidi" w:eastAsia="Calibri" w:hAnsiTheme="majorBidi" w:cstheme="majorBidi"/>
          <w:sz w:val="24"/>
          <w:szCs w:val="24"/>
        </w:rPr>
        <w:t>, Mónica, et al. "Immunoglobulin M (IgM)-</w:t>
      </w:r>
      <w:proofErr w:type="spellStart"/>
      <w:r w:rsidR="006A12F1" w:rsidRPr="006A12F1">
        <w:rPr>
          <w:rFonts w:asciiTheme="majorBidi" w:eastAsia="Calibri" w:hAnsiTheme="majorBidi" w:cstheme="majorBidi"/>
          <w:sz w:val="24"/>
          <w:szCs w:val="24"/>
        </w:rPr>
        <w:t>glycoinositolphospholipid</w:t>
      </w:r>
      <w:proofErr w:type="spellEnd"/>
      <w:r w:rsidR="006A12F1" w:rsidRPr="006A12F1">
        <w:rPr>
          <w:rFonts w:asciiTheme="majorBidi" w:eastAsia="Calibri" w:hAnsiTheme="majorBidi" w:cstheme="majorBidi"/>
          <w:sz w:val="24"/>
          <w:szCs w:val="24"/>
        </w:rPr>
        <w:t xml:space="preserve"> enzyme-linked immunosorbent assay: an </w:t>
      </w:r>
      <w:proofErr w:type="spellStart"/>
      <w:r w:rsidR="006A12F1" w:rsidRPr="006A12F1">
        <w:rPr>
          <w:rFonts w:asciiTheme="majorBidi" w:eastAsia="Calibri" w:hAnsiTheme="majorBidi" w:cstheme="majorBidi"/>
          <w:sz w:val="24"/>
          <w:szCs w:val="24"/>
        </w:rPr>
        <w:t>immunoenzymatic</w:t>
      </w:r>
      <w:proofErr w:type="spellEnd"/>
      <w:r w:rsidR="006A12F1" w:rsidRPr="006A12F1">
        <w:rPr>
          <w:rFonts w:asciiTheme="majorBidi" w:eastAsia="Calibri" w:hAnsiTheme="majorBidi" w:cstheme="majorBidi"/>
          <w:sz w:val="24"/>
          <w:szCs w:val="24"/>
        </w:rPr>
        <w:t xml:space="preserve"> assay for discrimination between patients with acute toxoplasmosis and those with persistent parasite-specific IgM antibodies." </w:t>
      </w:r>
      <w:r w:rsidR="006A12F1" w:rsidRPr="006A12F1">
        <w:rPr>
          <w:rFonts w:asciiTheme="majorBidi" w:eastAsia="Calibri" w:hAnsiTheme="majorBidi" w:cstheme="majorBidi"/>
          <w:i/>
          <w:iCs/>
          <w:sz w:val="24"/>
          <w:szCs w:val="24"/>
        </w:rPr>
        <w:t>Journal of Clinical Microbiology</w:t>
      </w:r>
      <w:r w:rsidR="006A12F1" w:rsidRPr="006A12F1">
        <w:rPr>
          <w:rFonts w:asciiTheme="majorBidi" w:eastAsia="Calibri" w:hAnsiTheme="majorBidi" w:cstheme="majorBidi"/>
          <w:sz w:val="24"/>
          <w:szCs w:val="24"/>
        </w:rPr>
        <w:t> 40.4 (2002): 1400-1405.</w:t>
      </w:r>
      <w:r w:rsidR="006A12F1" w:rsidRPr="006A12F1">
        <w:rPr>
          <w:rFonts w:asciiTheme="majorBidi" w:eastAsia="Calibri" w:hAnsiTheme="majorBidi" w:cstheme="majorBidi"/>
          <w:sz w:val="24"/>
          <w:szCs w:val="24"/>
          <w:rtl/>
        </w:rPr>
        <w:t>‏</w:t>
      </w:r>
      <w:r w:rsidRPr="00F04DDB">
        <w:rPr>
          <w:rFonts w:asciiTheme="majorBidi" w:eastAsia="Calibri" w:hAnsiTheme="majorBidi" w:cstheme="majorBidi"/>
          <w:sz w:val="24"/>
          <w:szCs w:val="24"/>
        </w:rPr>
        <w:t xml:space="preserve"> </w:t>
      </w:r>
    </w:p>
    <w:p w14:paraId="50ACBF27" w14:textId="77777777" w:rsidR="006B7A14" w:rsidRDefault="00F04DDB" w:rsidP="006B7A14">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lang w:val="en"/>
        </w:rPr>
        <w:t>48.</w:t>
      </w:r>
      <w:r w:rsidRPr="00F04DDB">
        <w:rPr>
          <w:rFonts w:asciiTheme="majorBidi" w:eastAsia="Calibri" w:hAnsiTheme="majorBidi" w:cstheme="majorBidi"/>
          <w:sz w:val="24"/>
          <w:szCs w:val="24"/>
          <w:lang w:val="en"/>
        </w:rPr>
        <w:t xml:space="preserve"> </w:t>
      </w:r>
      <w:r w:rsidR="006A12F1" w:rsidRPr="006A12F1">
        <w:rPr>
          <w:rFonts w:asciiTheme="majorBidi" w:eastAsia="Calibri" w:hAnsiTheme="majorBidi" w:cstheme="majorBidi"/>
          <w:sz w:val="24"/>
          <w:szCs w:val="24"/>
        </w:rPr>
        <w:t>Fricker-Hidalgo, Hélène, et al. "How to estimate time of infection with Toxoplasma gondii in pregnant women. Use of specific IgG and IgM kinetics by 7 techniques on 691 sera." </w:t>
      </w:r>
      <w:r w:rsidR="006A12F1" w:rsidRPr="006A12F1">
        <w:rPr>
          <w:rFonts w:asciiTheme="majorBidi" w:eastAsia="Calibri" w:hAnsiTheme="majorBidi" w:cstheme="majorBidi"/>
          <w:i/>
          <w:iCs/>
          <w:sz w:val="24"/>
          <w:szCs w:val="24"/>
        </w:rPr>
        <w:t>Diagnostic microbiology and infectious disease</w:t>
      </w:r>
      <w:r w:rsidR="006A12F1" w:rsidRPr="006A12F1">
        <w:rPr>
          <w:rFonts w:asciiTheme="majorBidi" w:eastAsia="Calibri" w:hAnsiTheme="majorBidi" w:cstheme="majorBidi"/>
          <w:sz w:val="24"/>
          <w:szCs w:val="24"/>
        </w:rPr>
        <w:t> 96.4 (2020): 114987.</w:t>
      </w:r>
      <w:r w:rsidR="006A12F1" w:rsidRPr="006A12F1">
        <w:rPr>
          <w:rFonts w:asciiTheme="majorBidi" w:eastAsia="Calibri" w:hAnsiTheme="majorBidi" w:cstheme="majorBidi"/>
          <w:sz w:val="24"/>
          <w:szCs w:val="24"/>
          <w:rtl/>
          <w:lang w:val="en"/>
        </w:rPr>
        <w:t>‏</w:t>
      </w:r>
    </w:p>
    <w:p w14:paraId="1400CA09" w14:textId="77777777" w:rsidR="006B7A14" w:rsidRDefault="00F04DDB" w:rsidP="006B7A14">
      <w:pPr>
        <w:spacing w:before="240"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lang w:val="en"/>
        </w:rPr>
        <w:t>49.</w:t>
      </w:r>
      <w:r w:rsidRPr="00F04DDB">
        <w:rPr>
          <w:rFonts w:asciiTheme="majorBidi" w:eastAsia="Calibri" w:hAnsiTheme="majorBidi" w:cstheme="majorBidi"/>
          <w:sz w:val="24"/>
          <w:szCs w:val="24"/>
          <w:lang w:val="en"/>
        </w:rPr>
        <w:t xml:space="preserve"> </w:t>
      </w:r>
      <w:r w:rsidR="006A12F1" w:rsidRPr="006A12F1">
        <w:rPr>
          <w:rFonts w:asciiTheme="majorBidi" w:eastAsia="Calibri" w:hAnsiTheme="majorBidi" w:cstheme="majorBidi"/>
          <w:sz w:val="24"/>
          <w:szCs w:val="24"/>
        </w:rPr>
        <w:t xml:space="preserve">Kamal, </w:t>
      </w:r>
      <w:proofErr w:type="spellStart"/>
      <w:r w:rsidR="006A12F1" w:rsidRPr="006A12F1">
        <w:rPr>
          <w:rFonts w:asciiTheme="majorBidi" w:eastAsia="Calibri" w:hAnsiTheme="majorBidi" w:cstheme="majorBidi"/>
          <w:sz w:val="24"/>
          <w:szCs w:val="24"/>
        </w:rPr>
        <w:t>Amany</w:t>
      </w:r>
      <w:proofErr w:type="spellEnd"/>
      <w:r w:rsidR="006A12F1" w:rsidRPr="006A12F1">
        <w:rPr>
          <w:rFonts w:asciiTheme="majorBidi" w:eastAsia="Calibri" w:hAnsiTheme="majorBidi" w:cstheme="majorBidi"/>
          <w:sz w:val="24"/>
          <w:szCs w:val="24"/>
        </w:rPr>
        <w:t xml:space="preserve"> M., et al. "Seropositivity of toxoplasmosis in pregnant women by ELISA at </w:t>
      </w:r>
      <w:proofErr w:type="spellStart"/>
      <w:r w:rsidR="006A12F1" w:rsidRPr="006A12F1">
        <w:rPr>
          <w:rFonts w:asciiTheme="majorBidi" w:eastAsia="Calibri" w:hAnsiTheme="majorBidi" w:cstheme="majorBidi"/>
          <w:sz w:val="24"/>
          <w:szCs w:val="24"/>
        </w:rPr>
        <w:t>Minia</w:t>
      </w:r>
      <w:proofErr w:type="spellEnd"/>
      <w:r w:rsidR="006A12F1" w:rsidRPr="006A12F1">
        <w:rPr>
          <w:rFonts w:asciiTheme="majorBidi" w:eastAsia="Calibri" w:hAnsiTheme="majorBidi" w:cstheme="majorBidi"/>
          <w:sz w:val="24"/>
          <w:szCs w:val="24"/>
        </w:rPr>
        <w:t xml:space="preserve"> University Hospital, Egypt." </w:t>
      </w:r>
      <w:r w:rsidR="006A12F1" w:rsidRPr="006A12F1">
        <w:rPr>
          <w:rFonts w:asciiTheme="majorBidi" w:eastAsia="Calibri" w:hAnsiTheme="majorBidi" w:cstheme="majorBidi"/>
          <w:i/>
          <w:iCs/>
          <w:sz w:val="24"/>
          <w:szCs w:val="24"/>
        </w:rPr>
        <w:t>The Korean journal of parasitology</w:t>
      </w:r>
      <w:r w:rsidR="006A12F1" w:rsidRPr="006A12F1">
        <w:rPr>
          <w:rFonts w:asciiTheme="majorBidi" w:eastAsia="Calibri" w:hAnsiTheme="majorBidi" w:cstheme="majorBidi"/>
          <w:sz w:val="24"/>
          <w:szCs w:val="24"/>
        </w:rPr>
        <w:t> 53.5 (2015): 605.</w:t>
      </w:r>
      <w:r w:rsidR="006A12F1" w:rsidRPr="006A12F1">
        <w:rPr>
          <w:rFonts w:asciiTheme="majorBidi" w:eastAsia="Calibri" w:hAnsiTheme="majorBidi" w:cstheme="majorBidi"/>
          <w:sz w:val="24"/>
          <w:szCs w:val="24"/>
          <w:rtl/>
          <w:lang w:val="en"/>
        </w:rPr>
        <w:t>‏</w:t>
      </w:r>
    </w:p>
    <w:p w14:paraId="32432DB1" w14:textId="77777777" w:rsidR="006B7A14" w:rsidRDefault="00F04DDB" w:rsidP="0091777B">
      <w:pPr>
        <w:spacing w:before="240" w:after="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50.</w:t>
      </w:r>
      <w:r w:rsidRPr="00F04DDB">
        <w:rPr>
          <w:rFonts w:asciiTheme="majorBidi" w:eastAsia="Calibri" w:hAnsiTheme="majorBidi" w:cstheme="majorBidi"/>
          <w:sz w:val="24"/>
          <w:szCs w:val="24"/>
        </w:rPr>
        <w:t xml:space="preserve"> </w:t>
      </w:r>
      <w:r w:rsidR="006A12F1" w:rsidRPr="006A12F1">
        <w:rPr>
          <w:rFonts w:asciiTheme="majorBidi" w:eastAsia="Calibri" w:hAnsiTheme="majorBidi" w:cstheme="majorBidi"/>
          <w:sz w:val="24"/>
          <w:szCs w:val="24"/>
        </w:rPr>
        <w:t>Al-</w:t>
      </w:r>
      <w:proofErr w:type="spellStart"/>
      <w:r w:rsidR="006A12F1" w:rsidRPr="006A12F1">
        <w:rPr>
          <w:rFonts w:asciiTheme="majorBidi" w:eastAsia="Calibri" w:hAnsiTheme="majorBidi" w:cstheme="majorBidi"/>
          <w:sz w:val="24"/>
          <w:szCs w:val="24"/>
        </w:rPr>
        <w:t>Kuraishy</w:t>
      </w:r>
      <w:proofErr w:type="spellEnd"/>
      <w:r w:rsidR="006A12F1" w:rsidRPr="006A12F1">
        <w:rPr>
          <w:rFonts w:asciiTheme="majorBidi" w:eastAsia="Calibri" w:hAnsiTheme="majorBidi" w:cstheme="majorBidi"/>
          <w:sz w:val="24"/>
          <w:szCs w:val="24"/>
        </w:rPr>
        <w:t xml:space="preserve">, </w:t>
      </w:r>
      <w:proofErr w:type="spellStart"/>
      <w:r w:rsidR="006A12F1" w:rsidRPr="006A12F1">
        <w:rPr>
          <w:rFonts w:asciiTheme="majorBidi" w:eastAsia="Calibri" w:hAnsiTheme="majorBidi" w:cstheme="majorBidi"/>
          <w:sz w:val="24"/>
          <w:szCs w:val="24"/>
        </w:rPr>
        <w:t>Hayder</w:t>
      </w:r>
      <w:proofErr w:type="spellEnd"/>
      <w:r w:rsidR="006A12F1" w:rsidRPr="006A12F1">
        <w:rPr>
          <w:rFonts w:asciiTheme="majorBidi" w:eastAsia="Calibri" w:hAnsiTheme="majorBidi" w:cstheme="majorBidi"/>
          <w:sz w:val="24"/>
          <w:szCs w:val="24"/>
        </w:rPr>
        <w:t xml:space="preserve"> M., et al. "Toxoplasmosis and risk of endothelial dysfunction: Role of oxidative stress and pro-inflammatory mediators." </w:t>
      </w:r>
      <w:r w:rsidR="006A12F1" w:rsidRPr="006A12F1">
        <w:rPr>
          <w:rFonts w:asciiTheme="majorBidi" w:eastAsia="Calibri" w:hAnsiTheme="majorBidi" w:cstheme="majorBidi"/>
          <w:i/>
          <w:iCs/>
          <w:sz w:val="24"/>
          <w:szCs w:val="24"/>
        </w:rPr>
        <w:t>Arch. Clin. Infect. Dis</w:t>
      </w:r>
      <w:r w:rsidR="006A12F1" w:rsidRPr="006A12F1">
        <w:rPr>
          <w:rFonts w:asciiTheme="majorBidi" w:eastAsia="Calibri" w:hAnsiTheme="majorBidi" w:cstheme="majorBidi"/>
          <w:sz w:val="24"/>
          <w:szCs w:val="24"/>
        </w:rPr>
        <w:t> 14 (2019): e95563.</w:t>
      </w:r>
      <w:r w:rsidR="006A12F1" w:rsidRPr="006A12F1">
        <w:rPr>
          <w:rFonts w:asciiTheme="majorBidi" w:eastAsia="Calibri" w:hAnsiTheme="majorBidi" w:cstheme="majorBidi"/>
          <w:sz w:val="24"/>
          <w:szCs w:val="24"/>
          <w:rtl/>
        </w:rPr>
        <w:t>‏</w:t>
      </w:r>
    </w:p>
    <w:p w14:paraId="600F224C" w14:textId="77777777" w:rsidR="006B7A14" w:rsidRDefault="00F04DDB" w:rsidP="0091777B">
      <w:pPr>
        <w:spacing w:before="240" w:after="0" w:line="240" w:lineRule="auto"/>
        <w:jc w:val="both"/>
        <w:rPr>
          <w:rFonts w:asciiTheme="majorBidi" w:eastAsia="Calibri" w:hAnsiTheme="majorBidi" w:cstheme="majorBidi"/>
          <w:sz w:val="24"/>
          <w:szCs w:val="24"/>
        </w:rPr>
      </w:pPr>
      <w:r w:rsidRPr="00F04DDB">
        <w:rPr>
          <w:rFonts w:asciiTheme="majorBidi" w:eastAsia="Calibri" w:hAnsiTheme="majorBidi" w:cstheme="majorBidi"/>
          <w:sz w:val="24"/>
          <w:szCs w:val="24"/>
        </w:rPr>
        <w:t xml:space="preserve">51. </w:t>
      </w:r>
      <w:r w:rsidR="006A12F1" w:rsidRPr="006A12F1">
        <w:rPr>
          <w:rFonts w:asciiTheme="majorBidi" w:eastAsia="Calibri" w:hAnsiTheme="majorBidi" w:cstheme="majorBidi"/>
          <w:sz w:val="24"/>
          <w:szCs w:val="24"/>
        </w:rPr>
        <w:t>Gandhi, Puneet, et al. "Circulatory YKL-40 &amp; NLR: underestimated prognostic indicators in diffuse glioma." </w:t>
      </w:r>
      <w:r w:rsidR="006A12F1" w:rsidRPr="006A12F1">
        <w:rPr>
          <w:rFonts w:asciiTheme="majorBidi" w:eastAsia="Calibri" w:hAnsiTheme="majorBidi" w:cstheme="majorBidi"/>
          <w:i/>
          <w:iCs/>
          <w:sz w:val="24"/>
          <w:szCs w:val="24"/>
        </w:rPr>
        <w:t>International Journal of Molecular and Cellular Medicine</w:t>
      </w:r>
      <w:r w:rsidR="006A12F1" w:rsidRPr="006A12F1">
        <w:rPr>
          <w:rFonts w:asciiTheme="majorBidi" w:eastAsia="Calibri" w:hAnsiTheme="majorBidi" w:cstheme="majorBidi"/>
          <w:sz w:val="24"/>
          <w:szCs w:val="24"/>
        </w:rPr>
        <w:t> 7.2 (2018): 111.</w:t>
      </w:r>
      <w:r w:rsidR="006A12F1" w:rsidRPr="006A12F1">
        <w:rPr>
          <w:rFonts w:asciiTheme="majorBidi" w:eastAsia="Calibri" w:hAnsiTheme="majorBidi" w:cstheme="majorBidi"/>
          <w:sz w:val="24"/>
          <w:szCs w:val="24"/>
          <w:rtl/>
        </w:rPr>
        <w:t>‏</w:t>
      </w:r>
    </w:p>
    <w:p w14:paraId="129894FD" w14:textId="77777777" w:rsidR="006B7A14" w:rsidRDefault="00F04DDB" w:rsidP="0091777B">
      <w:pPr>
        <w:spacing w:before="240" w:after="0" w:line="240" w:lineRule="auto"/>
        <w:jc w:val="both"/>
        <w:rPr>
          <w:rFonts w:asciiTheme="majorBidi" w:eastAsia="Calibri" w:hAnsiTheme="majorBidi" w:cstheme="majorBidi"/>
          <w:sz w:val="24"/>
          <w:szCs w:val="24"/>
        </w:rPr>
      </w:pPr>
      <w:r w:rsidRPr="00F04DDB">
        <w:rPr>
          <w:rFonts w:asciiTheme="majorBidi" w:eastAsia="Calibri" w:hAnsiTheme="majorBidi" w:cstheme="majorBidi"/>
          <w:sz w:val="24"/>
          <w:szCs w:val="24"/>
        </w:rPr>
        <w:t xml:space="preserve">52. </w:t>
      </w:r>
      <w:proofErr w:type="spellStart"/>
      <w:r w:rsidR="006A12F1" w:rsidRPr="006A12F1">
        <w:rPr>
          <w:rFonts w:asciiTheme="majorBidi" w:eastAsia="Calibri" w:hAnsiTheme="majorBidi" w:cstheme="majorBidi"/>
          <w:sz w:val="24"/>
          <w:szCs w:val="24"/>
        </w:rPr>
        <w:t>Coriati</w:t>
      </w:r>
      <w:proofErr w:type="spellEnd"/>
      <w:r w:rsidR="006A12F1" w:rsidRPr="006A12F1">
        <w:rPr>
          <w:rFonts w:asciiTheme="majorBidi" w:eastAsia="Calibri" w:hAnsiTheme="majorBidi" w:cstheme="majorBidi"/>
          <w:sz w:val="24"/>
          <w:szCs w:val="24"/>
        </w:rPr>
        <w:t xml:space="preserve">, Adèle, et al. "Ykl-40 as a clinical biomarker in adult patients with </w:t>
      </w:r>
      <w:proofErr w:type="spellStart"/>
      <w:r w:rsidR="006A12F1" w:rsidRPr="006A12F1">
        <w:rPr>
          <w:rFonts w:asciiTheme="majorBidi" w:eastAsia="Calibri" w:hAnsiTheme="majorBidi" w:cstheme="majorBidi"/>
          <w:sz w:val="24"/>
          <w:szCs w:val="24"/>
        </w:rPr>
        <w:t>cf</w:t>
      </w:r>
      <w:proofErr w:type="spellEnd"/>
      <w:r w:rsidR="006A12F1" w:rsidRPr="006A12F1">
        <w:rPr>
          <w:rFonts w:asciiTheme="majorBidi" w:eastAsia="Calibri" w:hAnsiTheme="majorBidi" w:cstheme="majorBidi"/>
          <w:sz w:val="24"/>
          <w:szCs w:val="24"/>
        </w:rPr>
        <w:t>: Implications of a chi3l1 single nucleotide polymorphism in disease severity." </w:t>
      </w:r>
      <w:r w:rsidR="006A12F1" w:rsidRPr="006A12F1">
        <w:rPr>
          <w:rFonts w:asciiTheme="majorBidi" w:eastAsia="Calibri" w:hAnsiTheme="majorBidi" w:cstheme="majorBidi"/>
          <w:i/>
          <w:iCs/>
          <w:sz w:val="24"/>
          <w:szCs w:val="24"/>
        </w:rPr>
        <w:t>Journal of Cystic Fibrosis</w:t>
      </w:r>
      <w:r w:rsidR="006A12F1" w:rsidRPr="006A12F1">
        <w:rPr>
          <w:rFonts w:asciiTheme="majorBidi" w:eastAsia="Calibri" w:hAnsiTheme="majorBidi" w:cstheme="majorBidi"/>
          <w:sz w:val="24"/>
          <w:szCs w:val="24"/>
        </w:rPr>
        <w:t> 20.6 (2021): e93-e99.</w:t>
      </w:r>
      <w:r w:rsidR="006A12F1" w:rsidRPr="006A12F1">
        <w:rPr>
          <w:rFonts w:asciiTheme="majorBidi" w:eastAsia="Calibri" w:hAnsiTheme="majorBidi" w:cstheme="majorBidi"/>
          <w:sz w:val="24"/>
          <w:szCs w:val="24"/>
          <w:rtl/>
        </w:rPr>
        <w:t>‏</w:t>
      </w:r>
    </w:p>
    <w:p w14:paraId="69504C9F" w14:textId="77777777" w:rsidR="006B7A14" w:rsidRDefault="00F04DDB" w:rsidP="0091777B">
      <w:pPr>
        <w:spacing w:before="240" w:after="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53. </w:t>
      </w:r>
      <w:r w:rsidR="006A12F1" w:rsidRPr="006A12F1">
        <w:rPr>
          <w:rFonts w:asciiTheme="majorBidi" w:eastAsia="Calibri" w:hAnsiTheme="majorBidi" w:cstheme="majorBidi"/>
          <w:sz w:val="24"/>
          <w:szCs w:val="24"/>
        </w:rPr>
        <w:t>Mazur, Marzena, et al. "Chitinases and Chitinase-Like Proteins as Therapeutic Targets in Inflammatory Diseases, with a Special Focus on Inflammatory Bowel Diseases." </w:t>
      </w:r>
      <w:r w:rsidR="006A12F1" w:rsidRPr="006A12F1">
        <w:rPr>
          <w:rFonts w:asciiTheme="majorBidi" w:eastAsia="Calibri" w:hAnsiTheme="majorBidi" w:cstheme="majorBidi"/>
          <w:i/>
          <w:iCs/>
          <w:sz w:val="24"/>
          <w:szCs w:val="24"/>
        </w:rPr>
        <w:t>International Journal of Molecular Sciences</w:t>
      </w:r>
      <w:r w:rsidR="006A12F1" w:rsidRPr="006A12F1">
        <w:rPr>
          <w:rFonts w:asciiTheme="majorBidi" w:eastAsia="Calibri" w:hAnsiTheme="majorBidi" w:cstheme="majorBidi"/>
          <w:sz w:val="24"/>
          <w:szCs w:val="24"/>
        </w:rPr>
        <w:t> 22.13 (2021): 6966.</w:t>
      </w:r>
      <w:r w:rsidR="006A12F1" w:rsidRPr="006A12F1">
        <w:rPr>
          <w:rFonts w:asciiTheme="majorBidi" w:eastAsia="Calibri" w:hAnsiTheme="majorBidi" w:cstheme="majorBidi"/>
          <w:sz w:val="24"/>
          <w:szCs w:val="24"/>
          <w:rtl/>
        </w:rPr>
        <w:t>‏</w:t>
      </w:r>
    </w:p>
    <w:p w14:paraId="63D6E242" w14:textId="77777777" w:rsidR="006B7A14" w:rsidRDefault="00F04DDB" w:rsidP="0091777B">
      <w:pPr>
        <w:spacing w:before="240" w:after="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54.</w:t>
      </w:r>
      <w:r w:rsidRPr="003C2993">
        <w:rPr>
          <w:rFonts w:asciiTheme="majorBidi" w:eastAsia="Calibri" w:hAnsiTheme="majorBidi" w:cstheme="majorBidi"/>
          <w:sz w:val="24"/>
          <w:szCs w:val="24"/>
        </w:rPr>
        <w:t xml:space="preserve"> </w:t>
      </w:r>
      <w:proofErr w:type="spellStart"/>
      <w:r w:rsidR="006A12F1" w:rsidRPr="006A12F1">
        <w:rPr>
          <w:rFonts w:asciiTheme="majorBidi" w:eastAsia="Calibri" w:hAnsiTheme="majorBidi" w:cstheme="majorBidi"/>
          <w:sz w:val="24"/>
          <w:szCs w:val="24"/>
        </w:rPr>
        <w:t>Pinteac</w:t>
      </w:r>
      <w:proofErr w:type="spellEnd"/>
      <w:r w:rsidR="006A12F1" w:rsidRPr="006A12F1">
        <w:rPr>
          <w:rFonts w:asciiTheme="majorBidi" w:eastAsia="Calibri" w:hAnsiTheme="majorBidi" w:cstheme="majorBidi"/>
          <w:sz w:val="24"/>
          <w:szCs w:val="24"/>
        </w:rPr>
        <w:t xml:space="preserve">, </w:t>
      </w:r>
      <w:proofErr w:type="spellStart"/>
      <w:r w:rsidR="006A12F1" w:rsidRPr="006A12F1">
        <w:rPr>
          <w:rFonts w:asciiTheme="majorBidi" w:eastAsia="Calibri" w:hAnsiTheme="majorBidi" w:cstheme="majorBidi"/>
          <w:sz w:val="24"/>
          <w:szCs w:val="24"/>
        </w:rPr>
        <w:t>Rucsanda</w:t>
      </w:r>
      <w:proofErr w:type="spellEnd"/>
      <w:r w:rsidR="006A12F1" w:rsidRPr="006A12F1">
        <w:rPr>
          <w:rFonts w:asciiTheme="majorBidi" w:eastAsia="Calibri" w:hAnsiTheme="majorBidi" w:cstheme="majorBidi"/>
          <w:sz w:val="24"/>
          <w:szCs w:val="24"/>
        </w:rPr>
        <w:t xml:space="preserve">, Xavier </w:t>
      </w:r>
      <w:proofErr w:type="spellStart"/>
      <w:r w:rsidR="006A12F1" w:rsidRPr="006A12F1">
        <w:rPr>
          <w:rFonts w:asciiTheme="majorBidi" w:eastAsia="Calibri" w:hAnsiTheme="majorBidi" w:cstheme="majorBidi"/>
          <w:sz w:val="24"/>
          <w:szCs w:val="24"/>
        </w:rPr>
        <w:t>Montalban</w:t>
      </w:r>
      <w:proofErr w:type="spellEnd"/>
      <w:r w:rsidR="006A12F1" w:rsidRPr="006A12F1">
        <w:rPr>
          <w:rFonts w:asciiTheme="majorBidi" w:eastAsia="Calibri" w:hAnsiTheme="majorBidi" w:cstheme="majorBidi"/>
          <w:sz w:val="24"/>
          <w:szCs w:val="24"/>
        </w:rPr>
        <w:t xml:space="preserve">, and Manuel </w:t>
      </w:r>
      <w:proofErr w:type="spellStart"/>
      <w:r w:rsidR="006A12F1" w:rsidRPr="006A12F1">
        <w:rPr>
          <w:rFonts w:asciiTheme="majorBidi" w:eastAsia="Calibri" w:hAnsiTheme="majorBidi" w:cstheme="majorBidi"/>
          <w:sz w:val="24"/>
          <w:szCs w:val="24"/>
        </w:rPr>
        <w:t>Comabella</w:t>
      </w:r>
      <w:proofErr w:type="spellEnd"/>
      <w:r w:rsidR="006A12F1" w:rsidRPr="006A12F1">
        <w:rPr>
          <w:rFonts w:asciiTheme="majorBidi" w:eastAsia="Calibri" w:hAnsiTheme="majorBidi" w:cstheme="majorBidi"/>
          <w:sz w:val="24"/>
          <w:szCs w:val="24"/>
        </w:rPr>
        <w:t>. "Chitinases and chitinase-like proteins as biomarkers in neurologic disorders." </w:t>
      </w:r>
      <w:r w:rsidR="006A12F1" w:rsidRPr="006A12F1">
        <w:rPr>
          <w:rFonts w:asciiTheme="majorBidi" w:eastAsia="Calibri" w:hAnsiTheme="majorBidi" w:cstheme="majorBidi"/>
          <w:i/>
          <w:iCs/>
          <w:sz w:val="24"/>
          <w:szCs w:val="24"/>
        </w:rPr>
        <w:t>Neurology-Neuroimmunology Neuroinflammation</w:t>
      </w:r>
      <w:r w:rsidR="006A12F1" w:rsidRPr="006A12F1">
        <w:rPr>
          <w:rFonts w:asciiTheme="majorBidi" w:eastAsia="Calibri" w:hAnsiTheme="majorBidi" w:cstheme="majorBidi"/>
          <w:sz w:val="24"/>
          <w:szCs w:val="24"/>
        </w:rPr>
        <w:t> 8.1 (2021).</w:t>
      </w:r>
      <w:r w:rsidR="006A12F1" w:rsidRPr="006A12F1">
        <w:rPr>
          <w:rFonts w:asciiTheme="majorBidi" w:eastAsia="Calibri" w:hAnsiTheme="majorBidi" w:cstheme="majorBidi"/>
          <w:sz w:val="24"/>
          <w:szCs w:val="24"/>
          <w:rtl/>
        </w:rPr>
        <w:t>‏</w:t>
      </w:r>
    </w:p>
    <w:p w14:paraId="3F964F35" w14:textId="77777777" w:rsidR="006B7A14" w:rsidRDefault="00CE01A6" w:rsidP="0091777B">
      <w:pPr>
        <w:spacing w:before="240" w:after="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55.</w:t>
      </w:r>
      <w:r w:rsidRPr="003C2993">
        <w:rPr>
          <w:rFonts w:asciiTheme="majorBidi" w:eastAsia="Calibri" w:hAnsiTheme="majorBidi" w:cstheme="majorBidi"/>
          <w:sz w:val="24"/>
          <w:szCs w:val="24"/>
        </w:rPr>
        <w:t xml:space="preserve"> </w:t>
      </w:r>
      <w:proofErr w:type="spellStart"/>
      <w:r w:rsidR="006A12F1" w:rsidRPr="006A12F1">
        <w:rPr>
          <w:rFonts w:asciiTheme="majorBidi" w:eastAsia="Calibri" w:hAnsiTheme="majorBidi" w:cstheme="majorBidi"/>
          <w:sz w:val="24"/>
          <w:szCs w:val="24"/>
        </w:rPr>
        <w:t>Jankowska-Konsur</w:t>
      </w:r>
      <w:proofErr w:type="spellEnd"/>
      <w:r w:rsidR="006A12F1" w:rsidRPr="006A12F1">
        <w:rPr>
          <w:rFonts w:asciiTheme="majorBidi" w:eastAsia="Calibri" w:hAnsiTheme="majorBidi" w:cstheme="majorBidi"/>
          <w:sz w:val="24"/>
          <w:szCs w:val="24"/>
        </w:rPr>
        <w:t>, Alina, et al. "Chitinase-3-like Protein 1 (YKL-40): A New Biomarker of Inflammation in Pyoderma Gangrenosum." </w:t>
      </w:r>
      <w:r w:rsidR="006A12F1" w:rsidRPr="006A12F1">
        <w:rPr>
          <w:rFonts w:asciiTheme="majorBidi" w:eastAsia="Calibri" w:hAnsiTheme="majorBidi" w:cstheme="majorBidi"/>
          <w:i/>
          <w:iCs/>
          <w:sz w:val="24"/>
          <w:szCs w:val="24"/>
        </w:rPr>
        <w:t>Acta Dermato-</w:t>
      </w:r>
      <w:proofErr w:type="spellStart"/>
      <w:r w:rsidR="006A12F1" w:rsidRPr="006A12F1">
        <w:rPr>
          <w:rFonts w:asciiTheme="majorBidi" w:eastAsia="Calibri" w:hAnsiTheme="majorBidi" w:cstheme="majorBidi"/>
          <w:i/>
          <w:iCs/>
          <w:sz w:val="24"/>
          <w:szCs w:val="24"/>
        </w:rPr>
        <w:t>Venereologica</w:t>
      </w:r>
      <w:proofErr w:type="spellEnd"/>
      <w:r w:rsidR="006A12F1" w:rsidRPr="006A12F1">
        <w:rPr>
          <w:rFonts w:asciiTheme="majorBidi" w:eastAsia="Calibri" w:hAnsiTheme="majorBidi" w:cstheme="majorBidi"/>
          <w:sz w:val="24"/>
          <w:szCs w:val="24"/>
        </w:rPr>
        <w:t> (2021).</w:t>
      </w:r>
      <w:r w:rsidR="006A12F1" w:rsidRPr="006A12F1">
        <w:rPr>
          <w:rFonts w:asciiTheme="majorBidi" w:eastAsia="Calibri" w:hAnsiTheme="majorBidi" w:cstheme="majorBidi"/>
          <w:sz w:val="24"/>
          <w:szCs w:val="24"/>
          <w:rtl/>
        </w:rPr>
        <w:t>‏</w:t>
      </w:r>
    </w:p>
    <w:p w14:paraId="72577DA4" w14:textId="77777777" w:rsidR="006B7A14" w:rsidRDefault="00CE01A6" w:rsidP="0091777B">
      <w:pPr>
        <w:spacing w:before="240" w:after="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56.</w:t>
      </w:r>
      <w:r w:rsidR="00D4557A">
        <w:rPr>
          <w:rFonts w:asciiTheme="majorBidi" w:eastAsia="Calibri" w:hAnsiTheme="majorBidi" w:cstheme="majorBidi"/>
          <w:sz w:val="24"/>
          <w:szCs w:val="24"/>
        </w:rPr>
        <w:t xml:space="preserve"> </w:t>
      </w:r>
      <w:r w:rsidR="006A12F1" w:rsidRPr="006A12F1">
        <w:rPr>
          <w:rFonts w:asciiTheme="majorBidi" w:eastAsia="Calibri" w:hAnsiTheme="majorBidi" w:cstheme="majorBidi"/>
          <w:sz w:val="24"/>
          <w:szCs w:val="24"/>
        </w:rPr>
        <w:t xml:space="preserve">Kwon, </w:t>
      </w:r>
      <w:proofErr w:type="spellStart"/>
      <w:r w:rsidR="006A12F1" w:rsidRPr="006A12F1">
        <w:rPr>
          <w:rFonts w:asciiTheme="majorBidi" w:eastAsia="Calibri" w:hAnsiTheme="majorBidi" w:cstheme="majorBidi"/>
          <w:sz w:val="24"/>
          <w:szCs w:val="24"/>
        </w:rPr>
        <w:t>Yoowon</w:t>
      </w:r>
      <w:proofErr w:type="spellEnd"/>
      <w:r w:rsidR="006A12F1" w:rsidRPr="006A12F1">
        <w:rPr>
          <w:rFonts w:asciiTheme="majorBidi" w:eastAsia="Calibri" w:hAnsiTheme="majorBidi" w:cstheme="majorBidi"/>
          <w:sz w:val="24"/>
          <w:szCs w:val="24"/>
        </w:rPr>
        <w:t>, et al. "Serum YKL-40 Levels Are Associated with the Atherogenic Index of Plasma in Children." </w:t>
      </w:r>
      <w:r w:rsidR="006A12F1" w:rsidRPr="006A12F1">
        <w:rPr>
          <w:rFonts w:asciiTheme="majorBidi" w:eastAsia="Calibri" w:hAnsiTheme="majorBidi" w:cstheme="majorBidi"/>
          <w:i/>
          <w:iCs/>
          <w:sz w:val="24"/>
          <w:szCs w:val="24"/>
        </w:rPr>
        <w:t>Mediators of inflammation</w:t>
      </w:r>
      <w:r w:rsidR="006A12F1" w:rsidRPr="006A12F1">
        <w:rPr>
          <w:rFonts w:asciiTheme="majorBidi" w:eastAsia="Calibri" w:hAnsiTheme="majorBidi" w:cstheme="majorBidi"/>
          <w:sz w:val="24"/>
          <w:szCs w:val="24"/>
        </w:rPr>
        <w:t> 2020 (2020).</w:t>
      </w:r>
      <w:r w:rsidR="006A12F1" w:rsidRPr="006A12F1">
        <w:rPr>
          <w:rFonts w:asciiTheme="majorBidi" w:eastAsia="Calibri" w:hAnsiTheme="majorBidi" w:cstheme="majorBidi"/>
          <w:sz w:val="24"/>
          <w:szCs w:val="24"/>
          <w:rtl/>
        </w:rPr>
        <w:t>‏</w:t>
      </w:r>
    </w:p>
    <w:p w14:paraId="234B008B" w14:textId="77777777" w:rsidR="006B7A14" w:rsidRDefault="00CE01A6" w:rsidP="0091777B">
      <w:pPr>
        <w:spacing w:before="240" w:after="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lastRenderedPageBreak/>
        <w:t xml:space="preserve">57. </w:t>
      </w:r>
      <w:proofErr w:type="spellStart"/>
      <w:r w:rsidR="006A12F1" w:rsidRPr="006A12F1">
        <w:rPr>
          <w:rFonts w:asciiTheme="majorBidi" w:eastAsia="Calibri" w:hAnsiTheme="majorBidi" w:cstheme="majorBidi"/>
          <w:sz w:val="24"/>
          <w:szCs w:val="24"/>
        </w:rPr>
        <w:t>Heukels</w:t>
      </w:r>
      <w:proofErr w:type="spellEnd"/>
      <w:r w:rsidR="006A12F1" w:rsidRPr="006A12F1">
        <w:rPr>
          <w:rFonts w:asciiTheme="majorBidi" w:eastAsia="Calibri" w:hAnsiTheme="majorBidi" w:cstheme="majorBidi"/>
          <w:sz w:val="24"/>
          <w:szCs w:val="24"/>
        </w:rPr>
        <w:t>, Peter, et al. "Inflammation and immunity in IPF pathogenesis and treatment." </w:t>
      </w:r>
      <w:r w:rsidR="006A12F1" w:rsidRPr="006A12F1">
        <w:rPr>
          <w:rFonts w:asciiTheme="majorBidi" w:eastAsia="Calibri" w:hAnsiTheme="majorBidi" w:cstheme="majorBidi"/>
          <w:i/>
          <w:iCs/>
          <w:sz w:val="24"/>
          <w:szCs w:val="24"/>
        </w:rPr>
        <w:t>Respiratory Medicine</w:t>
      </w:r>
      <w:r w:rsidR="006A12F1" w:rsidRPr="006A12F1">
        <w:rPr>
          <w:rFonts w:asciiTheme="majorBidi" w:eastAsia="Calibri" w:hAnsiTheme="majorBidi" w:cstheme="majorBidi"/>
          <w:sz w:val="24"/>
          <w:szCs w:val="24"/>
        </w:rPr>
        <w:t> 147 (2019): 79-91.</w:t>
      </w:r>
      <w:r w:rsidR="006A12F1" w:rsidRPr="006A12F1">
        <w:rPr>
          <w:rFonts w:asciiTheme="majorBidi" w:eastAsia="Calibri" w:hAnsiTheme="majorBidi" w:cstheme="majorBidi"/>
          <w:sz w:val="24"/>
          <w:szCs w:val="24"/>
          <w:rtl/>
        </w:rPr>
        <w:t>‏</w:t>
      </w:r>
    </w:p>
    <w:p w14:paraId="5188F897" w14:textId="2A87EACF" w:rsidR="007F1EFD" w:rsidRPr="008D12AB" w:rsidRDefault="00CE01A6" w:rsidP="0091777B">
      <w:pPr>
        <w:spacing w:before="240" w:after="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58. </w:t>
      </w:r>
      <w:r w:rsidR="004E5BB3" w:rsidRPr="004E5BB3">
        <w:rPr>
          <w:rFonts w:asciiTheme="majorBidi" w:eastAsia="Calibri" w:hAnsiTheme="majorBidi" w:cstheme="majorBidi"/>
          <w:sz w:val="24"/>
          <w:szCs w:val="24"/>
        </w:rPr>
        <w:t>Chandan, Kumari, Meenakshi Gupta, and Maryam Sarwat. "Role of host and pathogen-derived microRNAs in immune regulation during infectious and inflammatory diseases." </w:t>
      </w:r>
      <w:r w:rsidR="004E5BB3" w:rsidRPr="004E5BB3">
        <w:rPr>
          <w:rFonts w:asciiTheme="majorBidi" w:eastAsia="Calibri" w:hAnsiTheme="majorBidi" w:cstheme="majorBidi"/>
          <w:i/>
          <w:iCs/>
          <w:sz w:val="24"/>
          <w:szCs w:val="24"/>
        </w:rPr>
        <w:t>Frontiers in Immunology</w:t>
      </w:r>
      <w:r w:rsidR="004E5BB3" w:rsidRPr="004E5BB3">
        <w:rPr>
          <w:rFonts w:asciiTheme="majorBidi" w:eastAsia="Calibri" w:hAnsiTheme="majorBidi" w:cstheme="majorBidi"/>
          <w:sz w:val="24"/>
          <w:szCs w:val="24"/>
        </w:rPr>
        <w:t> (2020): 3081.</w:t>
      </w:r>
      <w:r w:rsidR="004E5BB3" w:rsidRPr="004E5BB3">
        <w:rPr>
          <w:rFonts w:asciiTheme="majorBidi" w:eastAsia="Calibri" w:hAnsiTheme="majorBidi" w:cstheme="majorBidi"/>
          <w:sz w:val="24"/>
          <w:szCs w:val="24"/>
          <w:rtl/>
        </w:rPr>
        <w:t>‏</w:t>
      </w:r>
    </w:p>
    <w:sectPr w:rsidR="007F1EFD" w:rsidRPr="008D12A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8730E"/>
    <w:multiLevelType w:val="hybridMultilevel"/>
    <w:tmpl w:val="77E4E256"/>
    <w:lvl w:ilvl="0" w:tplc="997A6B4C">
      <w:start w:val="1"/>
      <w:numFmt w:val="decimal"/>
      <w:suff w:val="space"/>
      <w:lvlText w:val="[%1]"/>
      <w:lvlJc w:val="left"/>
      <w:pPr>
        <w:ind w:left="2557" w:hanging="37"/>
      </w:pPr>
      <w:rPr>
        <w:b w:val="0"/>
        <w:bCs w:val="0"/>
        <w:i w:val="0"/>
        <w:iCs w:val="0"/>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FD"/>
    <w:rsid w:val="00007AAC"/>
    <w:rsid w:val="0001027A"/>
    <w:rsid w:val="000365E2"/>
    <w:rsid w:val="00044FFC"/>
    <w:rsid w:val="00055559"/>
    <w:rsid w:val="00057D6C"/>
    <w:rsid w:val="00062E00"/>
    <w:rsid w:val="00070C75"/>
    <w:rsid w:val="00070DC4"/>
    <w:rsid w:val="00074A1C"/>
    <w:rsid w:val="00093925"/>
    <w:rsid w:val="000A0371"/>
    <w:rsid w:val="000A1B5A"/>
    <w:rsid w:val="000A5E33"/>
    <w:rsid w:val="000C0CFF"/>
    <w:rsid w:val="000C2D14"/>
    <w:rsid w:val="000C7B30"/>
    <w:rsid w:val="000E621A"/>
    <w:rsid w:val="000E76E3"/>
    <w:rsid w:val="000F7BF0"/>
    <w:rsid w:val="00103F25"/>
    <w:rsid w:val="00105DF7"/>
    <w:rsid w:val="00105FD7"/>
    <w:rsid w:val="00114CF0"/>
    <w:rsid w:val="00117B52"/>
    <w:rsid w:val="001210B9"/>
    <w:rsid w:val="00125610"/>
    <w:rsid w:val="00132882"/>
    <w:rsid w:val="00134226"/>
    <w:rsid w:val="00135650"/>
    <w:rsid w:val="001420FF"/>
    <w:rsid w:val="001442A0"/>
    <w:rsid w:val="00146D14"/>
    <w:rsid w:val="001542BC"/>
    <w:rsid w:val="00161197"/>
    <w:rsid w:val="001969DF"/>
    <w:rsid w:val="00197651"/>
    <w:rsid w:val="00197EA9"/>
    <w:rsid w:val="001B1A34"/>
    <w:rsid w:val="001C3F43"/>
    <w:rsid w:val="00211A58"/>
    <w:rsid w:val="00212B83"/>
    <w:rsid w:val="00232281"/>
    <w:rsid w:val="0024625D"/>
    <w:rsid w:val="00247B3B"/>
    <w:rsid w:val="002835E8"/>
    <w:rsid w:val="002846D8"/>
    <w:rsid w:val="002978DC"/>
    <w:rsid w:val="002B4132"/>
    <w:rsid w:val="002B567B"/>
    <w:rsid w:val="002C2D0A"/>
    <w:rsid w:val="002C3E39"/>
    <w:rsid w:val="002D1E27"/>
    <w:rsid w:val="002E11BA"/>
    <w:rsid w:val="002E17BB"/>
    <w:rsid w:val="002E6752"/>
    <w:rsid w:val="00311B76"/>
    <w:rsid w:val="0033304C"/>
    <w:rsid w:val="00334C20"/>
    <w:rsid w:val="00347E8B"/>
    <w:rsid w:val="003567C7"/>
    <w:rsid w:val="00375B40"/>
    <w:rsid w:val="003B7070"/>
    <w:rsid w:val="003C2993"/>
    <w:rsid w:val="003D3722"/>
    <w:rsid w:val="003E04ED"/>
    <w:rsid w:val="003E23FF"/>
    <w:rsid w:val="003E2648"/>
    <w:rsid w:val="003E2B58"/>
    <w:rsid w:val="003F0F6E"/>
    <w:rsid w:val="003F13C6"/>
    <w:rsid w:val="003F1DCF"/>
    <w:rsid w:val="003F2BD6"/>
    <w:rsid w:val="00411D2C"/>
    <w:rsid w:val="00420BB0"/>
    <w:rsid w:val="00444E12"/>
    <w:rsid w:val="00452745"/>
    <w:rsid w:val="004653F7"/>
    <w:rsid w:val="00471AF2"/>
    <w:rsid w:val="00472F2A"/>
    <w:rsid w:val="00484B66"/>
    <w:rsid w:val="00486CBF"/>
    <w:rsid w:val="00491887"/>
    <w:rsid w:val="00492984"/>
    <w:rsid w:val="004A556E"/>
    <w:rsid w:val="004A7B34"/>
    <w:rsid w:val="004C1310"/>
    <w:rsid w:val="004E5BB3"/>
    <w:rsid w:val="0050495B"/>
    <w:rsid w:val="0053347A"/>
    <w:rsid w:val="005428A7"/>
    <w:rsid w:val="005606D8"/>
    <w:rsid w:val="00564469"/>
    <w:rsid w:val="00566760"/>
    <w:rsid w:val="005856C6"/>
    <w:rsid w:val="00587C6F"/>
    <w:rsid w:val="005A04A7"/>
    <w:rsid w:val="005A1CE2"/>
    <w:rsid w:val="005A33F9"/>
    <w:rsid w:val="005A75C3"/>
    <w:rsid w:val="005D4982"/>
    <w:rsid w:val="005E36D7"/>
    <w:rsid w:val="005F1776"/>
    <w:rsid w:val="006001CF"/>
    <w:rsid w:val="00601BB1"/>
    <w:rsid w:val="006024BE"/>
    <w:rsid w:val="00612020"/>
    <w:rsid w:val="00661BD4"/>
    <w:rsid w:val="00673BC8"/>
    <w:rsid w:val="006768B7"/>
    <w:rsid w:val="00697FCB"/>
    <w:rsid w:val="006A12F1"/>
    <w:rsid w:val="006A24D5"/>
    <w:rsid w:val="006B6F17"/>
    <w:rsid w:val="006B7A14"/>
    <w:rsid w:val="006D17FA"/>
    <w:rsid w:val="006D1A51"/>
    <w:rsid w:val="006D6B68"/>
    <w:rsid w:val="00700E7F"/>
    <w:rsid w:val="00703BFF"/>
    <w:rsid w:val="00721318"/>
    <w:rsid w:val="00732354"/>
    <w:rsid w:val="00736424"/>
    <w:rsid w:val="00754684"/>
    <w:rsid w:val="00776A77"/>
    <w:rsid w:val="00780794"/>
    <w:rsid w:val="00781D5B"/>
    <w:rsid w:val="007821CF"/>
    <w:rsid w:val="00787E23"/>
    <w:rsid w:val="007B7754"/>
    <w:rsid w:val="007D6C2D"/>
    <w:rsid w:val="007F1EFD"/>
    <w:rsid w:val="007F2B94"/>
    <w:rsid w:val="00800A37"/>
    <w:rsid w:val="00812E68"/>
    <w:rsid w:val="008145C4"/>
    <w:rsid w:val="00816D59"/>
    <w:rsid w:val="008202CE"/>
    <w:rsid w:val="00824ED6"/>
    <w:rsid w:val="00843547"/>
    <w:rsid w:val="00846A61"/>
    <w:rsid w:val="00851893"/>
    <w:rsid w:val="008526C2"/>
    <w:rsid w:val="00860FD2"/>
    <w:rsid w:val="00866922"/>
    <w:rsid w:val="008718EB"/>
    <w:rsid w:val="00890BD3"/>
    <w:rsid w:val="00895F37"/>
    <w:rsid w:val="00896306"/>
    <w:rsid w:val="008C0577"/>
    <w:rsid w:val="008C43BC"/>
    <w:rsid w:val="008D12AB"/>
    <w:rsid w:val="008E21B8"/>
    <w:rsid w:val="008F0176"/>
    <w:rsid w:val="008F5F18"/>
    <w:rsid w:val="008F686D"/>
    <w:rsid w:val="009004A2"/>
    <w:rsid w:val="00907C22"/>
    <w:rsid w:val="00917510"/>
    <w:rsid w:val="0091777B"/>
    <w:rsid w:val="00926D64"/>
    <w:rsid w:val="00930ABD"/>
    <w:rsid w:val="00933CC2"/>
    <w:rsid w:val="0094766C"/>
    <w:rsid w:val="009638DD"/>
    <w:rsid w:val="00963B30"/>
    <w:rsid w:val="00980FBC"/>
    <w:rsid w:val="00991F6A"/>
    <w:rsid w:val="009B274E"/>
    <w:rsid w:val="009B521D"/>
    <w:rsid w:val="009C1E48"/>
    <w:rsid w:val="009D3E7B"/>
    <w:rsid w:val="009D6FB8"/>
    <w:rsid w:val="009E68E0"/>
    <w:rsid w:val="009F333B"/>
    <w:rsid w:val="00A21816"/>
    <w:rsid w:val="00A23790"/>
    <w:rsid w:val="00A317E7"/>
    <w:rsid w:val="00A31C9A"/>
    <w:rsid w:val="00A3222D"/>
    <w:rsid w:val="00A50647"/>
    <w:rsid w:val="00A51289"/>
    <w:rsid w:val="00A656DB"/>
    <w:rsid w:val="00A86611"/>
    <w:rsid w:val="00A91D60"/>
    <w:rsid w:val="00AB0CC6"/>
    <w:rsid w:val="00AC3DB1"/>
    <w:rsid w:val="00AE58D4"/>
    <w:rsid w:val="00B1153D"/>
    <w:rsid w:val="00B11A3E"/>
    <w:rsid w:val="00B16068"/>
    <w:rsid w:val="00B22F61"/>
    <w:rsid w:val="00B25FE8"/>
    <w:rsid w:val="00B2634B"/>
    <w:rsid w:val="00B279CB"/>
    <w:rsid w:val="00B31492"/>
    <w:rsid w:val="00B343F4"/>
    <w:rsid w:val="00B35E72"/>
    <w:rsid w:val="00B36974"/>
    <w:rsid w:val="00B57E5F"/>
    <w:rsid w:val="00B76363"/>
    <w:rsid w:val="00B834C9"/>
    <w:rsid w:val="00BA1C19"/>
    <w:rsid w:val="00BA60D7"/>
    <w:rsid w:val="00BB7E50"/>
    <w:rsid w:val="00BC5310"/>
    <w:rsid w:val="00BC5383"/>
    <w:rsid w:val="00BE34E8"/>
    <w:rsid w:val="00BE39C0"/>
    <w:rsid w:val="00BE6DAA"/>
    <w:rsid w:val="00C04A98"/>
    <w:rsid w:val="00C11F39"/>
    <w:rsid w:val="00C15BA0"/>
    <w:rsid w:val="00C227F1"/>
    <w:rsid w:val="00C25B53"/>
    <w:rsid w:val="00C37C60"/>
    <w:rsid w:val="00C40658"/>
    <w:rsid w:val="00C44F89"/>
    <w:rsid w:val="00C4575E"/>
    <w:rsid w:val="00C46EAC"/>
    <w:rsid w:val="00C54499"/>
    <w:rsid w:val="00C6479A"/>
    <w:rsid w:val="00C743CB"/>
    <w:rsid w:val="00C74710"/>
    <w:rsid w:val="00CC2050"/>
    <w:rsid w:val="00CC674D"/>
    <w:rsid w:val="00CD3885"/>
    <w:rsid w:val="00CE01A6"/>
    <w:rsid w:val="00CF1A28"/>
    <w:rsid w:val="00D227F6"/>
    <w:rsid w:val="00D23D36"/>
    <w:rsid w:val="00D44DD5"/>
    <w:rsid w:val="00D4557A"/>
    <w:rsid w:val="00D47286"/>
    <w:rsid w:val="00D5132D"/>
    <w:rsid w:val="00D80345"/>
    <w:rsid w:val="00D84190"/>
    <w:rsid w:val="00D86E82"/>
    <w:rsid w:val="00D95F4C"/>
    <w:rsid w:val="00DA6EE4"/>
    <w:rsid w:val="00DC3A0D"/>
    <w:rsid w:val="00DE7683"/>
    <w:rsid w:val="00DF6E2A"/>
    <w:rsid w:val="00DF7723"/>
    <w:rsid w:val="00E141B9"/>
    <w:rsid w:val="00E341BF"/>
    <w:rsid w:val="00E41A28"/>
    <w:rsid w:val="00E437B6"/>
    <w:rsid w:val="00E438FA"/>
    <w:rsid w:val="00E50CD3"/>
    <w:rsid w:val="00E56A03"/>
    <w:rsid w:val="00E6681E"/>
    <w:rsid w:val="00E777FF"/>
    <w:rsid w:val="00E8764A"/>
    <w:rsid w:val="00E92AC0"/>
    <w:rsid w:val="00E93D55"/>
    <w:rsid w:val="00EC309F"/>
    <w:rsid w:val="00EC468C"/>
    <w:rsid w:val="00ED29A4"/>
    <w:rsid w:val="00EE6386"/>
    <w:rsid w:val="00F0157B"/>
    <w:rsid w:val="00F04DDB"/>
    <w:rsid w:val="00F04F13"/>
    <w:rsid w:val="00F148F7"/>
    <w:rsid w:val="00F14FE2"/>
    <w:rsid w:val="00F276F1"/>
    <w:rsid w:val="00F307A5"/>
    <w:rsid w:val="00F37F72"/>
    <w:rsid w:val="00F40548"/>
    <w:rsid w:val="00F45D1F"/>
    <w:rsid w:val="00F46045"/>
    <w:rsid w:val="00F47B63"/>
    <w:rsid w:val="00F5617E"/>
    <w:rsid w:val="00F72244"/>
    <w:rsid w:val="00F76DAA"/>
    <w:rsid w:val="00F81814"/>
    <w:rsid w:val="00F872FE"/>
    <w:rsid w:val="00FA168E"/>
    <w:rsid w:val="00FB695B"/>
    <w:rsid w:val="00FB6A53"/>
    <w:rsid w:val="00FC3387"/>
    <w:rsid w:val="00FC47DD"/>
    <w:rsid w:val="00FF47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9659"/>
  <w15:docId w15:val="{23C051F8-3487-42E5-8101-39DB1639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F1EFD"/>
    <w:pPr>
      <w:spacing w:line="240" w:lineRule="auto"/>
    </w:pPr>
    <w:rPr>
      <w:sz w:val="20"/>
      <w:szCs w:val="20"/>
    </w:rPr>
  </w:style>
  <w:style w:type="character" w:customStyle="1" w:styleId="CommentTextChar">
    <w:name w:val="Comment Text Char"/>
    <w:basedOn w:val="DefaultParagraphFont"/>
    <w:link w:val="CommentText"/>
    <w:uiPriority w:val="99"/>
    <w:rsid w:val="007F1EFD"/>
    <w:rPr>
      <w:sz w:val="20"/>
      <w:szCs w:val="20"/>
    </w:rPr>
  </w:style>
  <w:style w:type="character" w:styleId="CommentReference">
    <w:name w:val="annotation reference"/>
    <w:basedOn w:val="DefaultParagraphFont"/>
    <w:uiPriority w:val="99"/>
    <w:semiHidden/>
    <w:unhideWhenUsed/>
    <w:rsid w:val="007F1EFD"/>
    <w:rPr>
      <w:sz w:val="16"/>
      <w:szCs w:val="16"/>
    </w:rPr>
  </w:style>
  <w:style w:type="character" w:styleId="Hyperlink">
    <w:name w:val="Hyperlink"/>
    <w:basedOn w:val="DefaultParagraphFont"/>
    <w:uiPriority w:val="99"/>
    <w:unhideWhenUsed/>
    <w:rsid w:val="003E2648"/>
    <w:rPr>
      <w:color w:val="0563C1" w:themeColor="hyperlink"/>
      <w:u w:val="single"/>
    </w:rPr>
  </w:style>
  <w:style w:type="character" w:customStyle="1" w:styleId="UnresolvedMention1">
    <w:name w:val="Unresolved Mention1"/>
    <w:basedOn w:val="DefaultParagraphFont"/>
    <w:uiPriority w:val="99"/>
    <w:semiHidden/>
    <w:unhideWhenUsed/>
    <w:rsid w:val="003E2648"/>
    <w:rPr>
      <w:color w:val="605E5C"/>
      <w:shd w:val="clear" w:color="auto" w:fill="E1DFDD"/>
    </w:rPr>
  </w:style>
  <w:style w:type="paragraph" w:styleId="ListParagraph">
    <w:name w:val="List Paragraph"/>
    <w:basedOn w:val="Normal"/>
    <w:uiPriority w:val="34"/>
    <w:qFormat/>
    <w:rsid w:val="000F7BF0"/>
    <w:pPr>
      <w:ind w:left="720"/>
      <w:contextualSpacing/>
    </w:pPr>
  </w:style>
  <w:style w:type="paragraph" w:styleId="CommentSubject">
    <w:name w:val="annotation subject"/>
    <w:basedOn w:val="CommentText"/>
    <w:next w:val="CommentText"/>
    <w:link w:val="CommentSubjectChar"/>
    <w:uiPriority w:val="99"/>
    <w:semiHidden/>
    <w:unhideWhenUsed/>
    <w:rsid w:val="008F0176"/>
    <w:rPr>
      <w:b/>
      <w:bCs/>
    </w:rPr>
  </w:style>
  <w:style w:type="character" w:customStyle="1" w:styleId="CommentSubjectChar">
    <w:name w:val="Comment Subject Char"/>
    <w:basedOn w:val="CommentTextChar"/>
    <w:link w:val="CommentSubject"/>
    <w:uiPriority w:val="99"/>
    <w:semiHidden/>
    <w:rsid w:val="008F01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134345">
      <w:bodyDiv w:val="1"/>
      <w:marLeft w:val="0"/>
      <w:marRight w:val="0"/>
      <w:marTop w:val="0"/>
      <w:marBottom w:val="0"/>
      <w:divBdr>
        <w:top w:val="none" w:sz="0" w:space="0" w:color="auto"/>
        <w:left w:val="none" w:sz="0" w:space="0" w:color="auto"/>
        <w:bottom w:val="none" w:sz="0" w:space="0" w:color="auto"/>
        <w:right w:val="none" w:sz="0" w:space="0" w:color="auto"/>
      </w:divBdr>
      <w:divsChild>
        <w:div w:id="1304240805">
          <w:marLeft w:val="0"/>
          <w:marRight w:val="0"/>
          <w:marTop w:val="0"/>
          <w:marBottom w:val="120"/>
          <w:divBdr>
            <w:top w:val="none" w:sz="0" w:space="0" w:color="auto"/>
            <w:left w:val="none" w:sz="0" w:space="0" w:color="auto"/>
            <w:bottom w:val="none" w:sz="0" w:space="0" w:color="auto"/>
            <w:right w:val="none" w:sz="0" w:space="0" w:color="auto"/>
          </w:divBdr>
          <w:divsChild>
            <w:div w:id="268395886">
              <w:marLeft w:val="0"/>
              <w:marRight w:val="0"/>
              <w:marTop w:val="0"/>
              <w:marBottom w:val="0"/>
              <w:divBdr>
                <w:top w:val="none" w:sz="0" w:space="0" w:color="auto"/>
                <w:left w:val="none" w:sz="0" w:space="0" w:color="auto"/>
                <w:bottom w:val="none" w:sz="0" w:space="0" w:color="auto"/>
                <w:right w:val="none" w:sz="0" w:space="0" w:color="auto"/>
              </w:divBdr>
              <w:divsChild>
                <w:div w:id="9320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03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rcid.org/0000-0001-5147-4861" TargetMode="External"/><Relationship Id="rId11" Type="http://schemas.openxmlformats.org/officeDocument/2006/relationships/fontTable" Target="fontTable.xml"/><Relationship Id="rId5" Type="http://schemas.openxmlformats.org/officeDocument/2006/relationships/hyperlink" Target="mailto:ferryph3589@gmail.com" TargetMode="Externa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4672</Words>
  <Characters>26634</Characters>
  <Application>Microsoft Office Word</Application>
  <DocSecurity>0</DocSecurity>
  <Lines>221</Lines>
  <Paragraphs>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Ahmed Mohammed</dc:creator>
  <cp:lastModifiedBy>Seshu Kumar Vandrangi</cp:lastModifiedBy>
  <cp:revision>3</cp:revision>
  <dcterms:created xsi:type="dcterms:W3CDTF">2022-05-06T13:41:00Z</dcterms:created>
  <dcterms:modified xsi:type="dcterms:W3CDTF">2022-05-13T16:30:00Z</dcterms:modified>
</cp:coreProperties>
</file>