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4EFD" w14:textId="77777777" w:rsidR="004B2C98" w:rsidRDefault="00CB6C9A" w:rsidP="00FF7F74">
      <w:pPr>
        <w:bidi w:val="0"/>
        <w:jc w:val="center"/>
        <w:rPr>
          <w:rFonts w:asciiTheme="majorBidi" w:hAnsiTheme="majorBidi" w:cstheme="majorBidi"/>
          <w:b/>
          <w:bCs/>
          <w:sz w:val="28"/>
          <w:szCs w:val="28"/>
          <w:lang w:bidi="ar-IQ"/>
        </w:rPr>
      </w:pPr>
      <w:r>
        <w:rPr>
          <w:rFonts w:asciiTheme="majorBidi" w:hAnsiTheme="majorBidi" w:cstheme="majorBidi"/>
          <w:b/>
          <w:bCs/>
          <w:sz w:val="28"/>
          <w:szCs w:val="28"/>
          <w:lang w:bidi="ar-IQ"/>
        </w:rPr>
        <w:t>Study the R</w:t>
      </w:r>
      <w:r w:rsidR="004B2C98" w:rsidRPr="004B2C98">
        <w:rPr>
          <w:rFonts w:asciiTheme="majorBidi" w:hAnsiTheme="majorBidi" w:cstheme="majorBidi"/>
          <w:b/>
          <w:bCs/>
          <w:sz w:val="28"/>
          <w:szCs w:val="28"/>
          <w:lang w:bidi="ar-IQ"/>
        </w:rPr>
        <w:t xml:space="preserve">elationship between </w:t>
      </w:r>
      <w:r w:rsidR="00DB5722">
        <w:rPr>
          <w:rFonts w:asciiTheme="majorBidi" w:hAnsiTheme="majorBidi" w:cstheme="majorBidi"/>
          <w:b/>
          <w:bCs/>
          <w:sz w:val="28"/>
          <w:szCs w:val="28"/>
          <w:lang w:bidi="ar-IQ"/>
        </w:rPr>
        <w:t>FT3, FT4, and TSH with</w:t>
      </w:r>
      <w:r>
        <w:rPr>
          <w:rFonts w:asciiTheme="majorBidi" w:hAnsiTheme="majorBidi" w:cstheme="majorBidi"/>
          <w:b/>
          <w:bCs/>
          <w:sz w:val="28"/>
          <w:szCs w:val="28"/>
          <w:lang w:bidi="ar-IQ"/>
        </w:rPr>
        <w:t xml:space="preserve"> Some Bone Resorption Indexes in Hypothyroidism Men</w:t>
      </w:r>
    </w:p>
    <w:p w14:paraId="3DD3F9E8" w14:textId="77777777" w:rsidR="00B953A4" w:rsidRPr="00FF7F74" w:rsidRDefault="00C4604B" w:rsidP="00FF7F74">
      <w:pPr>
        <w:bidi w:val="0"/>
        <w:spacing w:after="120"/>
        <w:jc w:val="center"/>
        <w:rPr>
          <w:rFonts w:ascii="Times New Roman" w:eastAsia="Calibri" w:hAnsi="Times New Roman" w:cs="Times New Roman"/>
          <w:b/>
          <w:bCs/>
          <w:sz w:val="24"/>
          <w:szCs w:val="24"/>
          <w:vertAlign w:val="superscript"/>
          <w:lang w:bidi="ar-IQ"/>
        </w:rPr>
      </w:pPr>
      <w:r w:rsidRPr="00FF7F74">
        <w:rPr>
          <w:rFonts w:ascii="Times New Roman" w:eastAsia="Calibri" w:hAnsi="Times New Roman" w:cs="Times New Roman"/>
          <w:b/>
          <w:bCs/>
          <w:sz w:val="24"/>
          <w:szCs w:val="24"/>
        </w:rPr>
        <w:t>Asma'a H. Mohamed</w:t>
      </w:r>
      <w:r w:rsidR="004E6C55" w:rsidRPr="00FF7F74">
        <w:rPr>
          <w:rFonts w:ascii="Times New Roman" w:eastAsia="Calibri" w:hAnsi="Times New Roman" w:cs="Times New Roman"/>
          <w:b/>
          <w:bCs/>
          <w:sz w:val="24"/>
          <w:szCs w:val="24"/>
        </w:rPr>
        <w:t>*</w:t>
      </w:r>
      <w:r w:rsidR="00B953A4" w:rsidRPr="00FF7F74">
        <w:rPr>
          <w:rFonts w:ascii="Times New Roman" w:eastAsia="Calibri" w:hAnsi="Times New Roman" w:cs="Times New Roman"/>
          <w:b/>
          <w:bCs/>
          <w:sz w:val="24"/>
          <w:szCs w:val="24"/>
          <w:vertAlign w:val="superscript"/>
          <w:lang w:bidi="ar-IQ"/>
        </w:rPr>
        <w:t>1</w:t>
      </w:r>
      <w:r w:rsidR="00B953A4" w:rsidRPr="00FF7F74">
        <w:rPr>
          <w:rFonts w:ascii="Times New Roman" w:eastAsia="Calibri" w:hAnsi="Times New Roman" w:cs="Times New Roman"/>
          <w:b/>
          <w:bCs/>
          <w:sz w:val="24"/>
          <w:szCs w:val="24"/>
          <w:lang w:bidi="ar-IQ"/>
        </w:rPr>
        <w:t>, Noor S. Naji</w:t>
      </w:r>
      <w:r w:rsidR="00B953A4" w:rsidRPr="00FF7F74">
        <w:rPr>
          <w:rFonts w:ascii="Times New Roman" w:eastAsia="Calibri" w:hAnsi="Times New Roman" w:cs="Times New Roman"/>
          <w:b/>
          <w:bCs/>
          <w:sz w:val="24"/>
          <w:szCs w:val="24"/>
          <w:vertAlign w:val="superscript"/>
          <w:lang w:bidi="ar-IQ"/>
        </w:rPr>
        <w:t>2</w:t>
      </w:r>
      <w:r w:rsidR="00B953A4" w:rsidRPr="00FF7F74">
        <w:rPr>
          <w:rFonts w:ascii="Times New Roman" w:eastAsia="Calibri" w:hAnsi="Times New Roman" w:cs="Times New Roman"/>
          <w:b/>
          <w:bCs/>
          <w:sz w:val="24"/>
          <w:szCs w:val="24"/>
          <w:lang w:bidi="ar-IQ"/>
        </w:rPr>
        <w:t xml:space="preserve">, </w:t>
      </w:r>
      <w:r w:rsidR="00B953A4" w:rsidRPr="00FF7F74">
        <w:rPr>
          <w:rFonts w:ascii="Times New Roman" w:eastAsia="Calibri" w:hAnsi="Times New Roman" w:cs="Times New Roman"/>
          <w:b/>
          <w:bCs/>
          <w:sz w:val="24"/>
          <w:szCs w:val="24"/>
        </w:rPr>
        <w:t>Ali H. Al-Saadi</w:t>
      </w:r>
      <w:r w:rsidR="00B953A4" w:rsidRPr="00FF7F74">
        <w:rPr>
          <w:rFonts w:ascii="Times New Roman" w:eastAsia="Calibri" w:hAnsi="Times New Roman" w:cs="Times New Roman"/>
          <w:b/>
          <w:bCs/>
          <w:sz w:val="24"/>
          <w:szCs w:val="24"/>
          <w:vertAlign w:val="superscript"/>
        </w:rPr>
        <w:t>3</w:t>
      </w:r>
    </w:p>
    <w:p w14:paraId="08270364" w14:textId="77777777" w:rsidR="00B953A4" w:rsidRPr="00C4604B" w:rsidRDefault="00B953A4" w:rsidP="004E6C55">
      <w:pPr>
        <w:bidi w:val="0"/>
        <w:spacing w:after="120"/>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Radiology Techniques Department</w:t>
      </w:r>
      <w:r w:rsidR="004E6C55">
        <w:rPr>
          <w:rFonts w:ascii="Times New Roman" w:eastAsia="Calibri" w:hAnsi="Times New Roman" w:cs="Times New Roman"/>
          <w:sz w:val="24"/>
          <w:szCs w:val="24"/>
        </w:rPr>
        <w:t xml:space="preserve">/ </w:t>
      </w:r>
      <w:r w:rsidRPr="00C4604B">
        <w:rPr>
          <w:rFonts w:ascii="Times New Roman" w:eastAsia="Calibri" w:hAnsi="Times New Roman" w:cs="Times New Roman"/>
          <w:sz w:val="24"/>
          <w:szCs w:val="24"/>
        </w:rPr>
        <w:t>Al-Mustaqbal University College/</w:t>
      </w:r>
      <w:r w:rsidR="004E6C55">
        <w:rPr>
          <w:rFonts w:ascii="Times New Roman" w:eastAsia="Calibri" w:hAnsi="Times New Roman" w:cs="Times New Roman"/>
          <w:sz w:val="24"/>
          <w:szCs w:val="24"/>
        </w:rPr>
        <w:t xml:space="preserve"> Hilla/ </w:t>
      </w:r>
      <w:r w:rsidRPr="00C4604B">
        <w:rPr>
          <w:rFonts w:ascii="Times New Roman" w:eastAsia="Calibri" w:hAnsi="Times New Roman" w:cs="Times New Roman"/>
          <w:sz w:val="24"/>
          <w:szCs w:val="24"/>
        </w:rPr>
        <w:t>Iraq</w:t>
      </w:r>
    </w:p>
    <w:p w14:paraId="5BB9C48E" w14:textId="77777777" w:rsidR="00B953A4" w:rsidRPr="00B953A4" w:rsidRDefault="00B953A4" w:rsidP="00C6263D">
      <w:pPr>
        <w:bidi w:val="0"/>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vertAlign w:val="superscript"/>
        </w:rPr>
        <w:t>2,</w:t>
      </w:r>
      <w:r w:rsidRPr="00B953A4">
        <w:rPr>
          <w:rFonts w:ascii="Times New Roman" w:eastAsia="Calibri" w:hAnsi="Times New Roman" w:cs="Times New Roman"/>
          <w:sz w:val="24"/>
          <w:szCs w:val="24"/>
          <w:vertAlign w:val="superscript"/>
        </w:rPr>
        <w:t>3</w:t>
      </w:r>
      <w:r w:rsidRPr="00B953A4">
        <w:rPr>
          <w:rFonts w:ascii="Times New Roman" w:eastAsia="Calibri" w:hAnsi="Times New Roman" w:cs="Times New Roman"/>
          <w:sz w:val="24"/>
          <w:szCs w:val="24"/>
        </w:rPr>
        <w:t>Department of Biology-College of Science-University of Babylon/Iraq</w:t>
      </w:r>
    </w:p>
    <w:p w14:paraId="00B66264" w14:textId="77777777" w:rsidR="00C4604B" w:rsidRPr="00B953A4" w:rsidRDefault="00C4604B" w:rsidP="00C6263D">
      <w:pPr>
        <w:bidi w:val="0"/>
        <w:spacing w:after="120"/>
        <w:jc w:val="both"/>
        <w:rPr>
          <w:rFonts w:ascii="Times New Roman" w:eastAsia="Calibri" w:hAnsi="Times New Roman" w:cs="Times New Roman"/>
          <w:sz w:val="24"/>
          <w:szCs w:val="24"/>
          <w:lang w:bidi="ar-IQ"/>
        </w:rPr>
      </w:pPr>
    </w:p>
    <w:p w14:paraId="6FE951E5" w14:textId="77777777" w:rsidR="00C4604B" w:rsidRPr="00C4604B" w:rsidRDefault="00B953A4" w:rsidP="00C6263D">
      <w:pPr>
        <w:bidi w:val="0"/>
        <w:jc w:val="both"/>
        <w:rPr>
          <w:rFonts w:asciiTheme="majorBidi" w:hAnsiTheme="majorBidi" w:cstheme="majorBidi"/>
          <w:b/>
          <w:bCs/>
          <w:sz w:val="28"/>
          <w:szCs w:val="28"/>
          <w:rtl/>
          <w:lang w:bidi="ar-IQ"/>
        </w:rPr>
      </w:pPr>
      <w:r>
        <w:rPr>
          <w:rFonts w:ascii="Times New Roman" w:eastAsia="Calibri" w:hAnsi="Times New Roman" w:cs="Times New Roman"/>
          <w:sz w:val="24"/>
          <w:szCs w:val="24"/>
          <w:vertAlign w:val="superscript"/>
        </w:rPr>
        <w:t>1</w:t>
      </w:r>
      <w:r w:rsidR="00C4604B" w:rsidRPr="00C4604B">
        <w:rPr>
          <w:rFonts w:ascii="Times New Roman" w:eastAsia="Calibri" w:hAnsi="Times New Roman" w:cs="Times New Roman"/>
        </w:rPr>
        <w:t xml:space="preserve">E-mail </w:t>
      </w:r>
      <w:r w:rsidR="00C4604B">
        <w:rPr>
          <w:rFonts w:ascii="Times New Roman" w:eastAsia="Calibri" w:hAnsi="Times New Roman" w:cs="Times New Roman"/>
        </w:rPr>
        <w:t xml:space="preserve">: </w:t>
      </w:r>
      <w:hyperlink r:id="rId6" w:history="1">
        <w:r w:rsidR="00C4604B" w:rsidRPr="00C4604B">
          <w:rPr>
            <w:rFonts w:ascii="Times New Roman" w:eastAsia="Calibri" w:hAnsi="Times New Roman" w:cs="Times New Roman"/>
            <w:color w:val="0563C1"/>
            <w:u w:val="single"/>
          </w:rPr>
          <w:t>Asmaa_Hassan@mustaqbal-college.edu.iq   /ORCID 0000-0001-8638-0291</w:t>
        </w:r>
      </w:hyperlink>
    </w:p>
    <w:p w14:paraId="64F7A78A" w14:textId="77777777" w:rsidR="004B2C98" w:rsidRDefault="004B2C98" w:rsidP="00C6263D">
      <w:pPr>
        <w:bidi w:val="0"/>
        <w:jc w:val="both"/>
        <w:rPr>
          <w:rFonts w:asciiTheme="majorBidi" w:hAnsiTheme="majorBidi" w:cstheme="majorBidi"/>
          <w:b/>
          <w:bCs/>
          <w:sz w:val="28"/>
          <w:szCs w:val="28"/>
          <w:rtl/>
          <w:lang w:bidi="ar-IQ"/>
        </w:rPr>
      </w:pPr>
    </w:p>
    <w:p w14:paraId="0BE34D5A" w14:textId="77777777" w:rsidR="00CB73E9" w:rsidRPr="00CB73E9" w:rsidRDefault="00CB73E9" w:rsidP="00C6263D">
      <w:pPr>
        <w:bidi w:val="0"/>
        <w:jc w:val="both"/>
        <w:rPr>
          <w:rFonts w:asciiTheme="majorBidi" w:hAnsiTheme="majorBidi" w:cstheme="majorBidi"/>
          <w:b/>
          <w:bCs/>
          <w:sz w:val="24"/>
          <w:szCs w:val="24"/>
          <w:lang w:bidi="ar-IQ"/>
        </w:rPr>
      </w:pPr>
      <w:r w:rsidRPr="00CB73E9">
        <w:rPr>
          <w:rFonts w:asciiTheme="majorBidi" w:hAnsiTheme="majorBidi" w:cstheme="majorBidi"/>
          <w:b/>
          <w:bCs/>
          <w:sz w:val="24"/>
          <w:szCs w:val="24"/>
          <w:lang w:bidi="ar-IQ"/>
        </w:rPr>
        <w:t>Abstract</w:t>
      </w:r>
    </w:p>
    <w:p w14:paraId="2A1B1E9C" w14:textId="77777777" w:rsidR="00CB73E9" w:rsidRPr="00CB73E9" w:rsidRDefault="007575FD"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The</w:t>
      </w:r>
      <w:r w:rsidR="00B22238">
        <w:rPr>
          <w:rFonts w:asciiTheme="majorBidi" w:hAnsiTheme="majorBidi" w:cstheme="majorBidi"/>
          <w:sz w:val="24"/>
          <w:szCs w:val="24"/>
          <w:lang w:bidi="ar-IQ"/>
        </w:rPr>
        <w:t xml:space="preserve"> </w:t>
      </w:r>
      <w:r w:rsidR="00356D81">
        <w:rPr>
          <w:rFonts w:asciiTheme="majorBidi" w:hAnsiTheme="majorBidi" w:cstheme="majorBidi"/>
          <w:sz w:val="24"/>
          <w:szCs w:val="24"/>
          <w:lang w:bidi="ar-IQ"/>
        </w:rPr>
        <w:t xml:space="preserve">current </w:t>
      </w:r>
      <w:r w:rsidR="00B22238">
        <w:rPr>
          <w:rFonts w:asciiTheme="majorBidi" w:hAnsiTheme="majorBidi" w:cstheme="majorBidi"/>
          <w:sz w:val="24"/>
          <w:szCs w:val="24"/>
          <w:lang w:bidi="ar-IQ"/>
        </w:rPr>
        <w:t>study was aimed to find</w:t>
      </w:r>
      <w:r w:rsidR="00CB73E9" w:rsidRPr="00CB73E9">
        <w:rPr>
          <w:rFonts w:asciiTheme="majorBidi" w:hAnsiTheme="majorBidi" w:cstheme="majorBidi"/>
          <w:sz w:val="24"/>
          <w:szCs w:val="24"/>
          <w:lang w:bidi="ar-IQ"/>
        </w:rPr>
        <w:t xml:space="preserve"> the effect of hypothyroidism in men on metabolism and the density of some bone mineral. The study included patients group of </w:t>
      </w:r>
      <w:r w:rsidR="008F642B">
        <w:rPr>
          <w:rFonts w:asciiTheme="majorBidi" w:hAnsiTheme="majorBidi" w:cstheme="majorBidi"/>
          <w:sz w:val="24"/>
          <w:szCs w:val="24"/>
          <w:lang w:bidi="ar-IQ"/>
        </w:rPr>
        <w:t>9</w:t>
      </w:r>
      <w:r w:rsidR="00CB73E9" w:rsidRPr="00CB73E9">
        <w:rPr>
          <w:rFonts w:asciiTheme="majorBidi" w:hAnsiTheme="majorBidi" w:cstheme="majorBidi"/>
          <w:sz w:val="24"/>
          <w:szCs w:val="24"/>
          <w:lang w:bidi="ar-IQ"/>
        </w:rPr>
        <w:t>0 men suffering from hypothyroidism and 1</w:t>
      </w:r>
      <w:r w:rsidR="008F642B">
        <w:rPr>
          <w:rFonts w:asciiTheme="majorBidi" w:hAnsiTheme="majorBidi" w:cstheme="majorBidi"/>
          <w:sz w:val="24"/>
          <w:szCs w:val="24"/>
          <w:lang w:bidi="ar-IQ"/>
        </w:rPr>
        <w:t>2</w:t>
      </w:r>
      <w:r w:rsidR="00CB73E9" w:rsidRPr="00CB73E9">
        <w:rPr>
          <w:rFonts w:asciiTheme="majorBidi" w:hAnsiTheme="majorBidi" w:cstheme="majorBidi"/>
          <w:sz w:val="24"/>
          <w:szCs w:val="24"/>
          <w:lang w:bidi="ar-IQ"/>
        </w:rPr>
        <w:t>0 healthy subjects a</w:t>
      </w:r>
      <w:r w:rsidR="008667BB">
        <w:rPr>
          <w:rFonts w:asciiTheme="majorBidi" w:hAnsiTheme="majorBidi" w:cstheme="majorBidi"/>
          <w:sz w:val="24"/>
          <w:szCs w:val="24"/>
          <w:lang w:bidi="ar-IQ"/>
        </w:rPr>
        <w:t>s control group. the study comprised</w:t>
      </w:r>
      <w:r w:rsidR="00CB73E9" w:rsidRPr="00CB73E9">
        <w:rPr>
          <w:rFonts w:asciiTheme="majorBidi" w:hAnsiTheme="majorBidi" w:cstheme="majorBidi"/>
          <w:sz w:val="24"/>
          <w:szCs w:val="24"/>
          <w:lang w:bidi="ar-IQ"/>
        </w:rPr>
        <w:t xml:space="preserve"> the estimation the </w:t>
      </w:r>
      <w:r w:rsidR="00356D81">
        <w:rPr>
          <w:rFonts w:asciiTheme="majorBidi" w:hAnsiTheme="majorBidi" w:cstheme="majorBidi"/>
          <w:sz w:val="24"/>
          <w:szCs w:val="24"/>
          <w:lang w:bidi="ar-IQ"/>
        </w:rPr>
        <w:t xml:space="preserve">concentration </w:t>
      </w:r>
      <w:r w:rsidR="00CB73E9" w:rsidRPr="00CB73E9">
        <w:rPr>
          <w:rFonts w:asciiTheme="majorBidi" w:hAnsiTheme="majorBidi" w:cstheme="majorBidi"/>
          <w:sz w:val="24"/>
          <w:szCs w:val="24"/>
          <w:lang w:bidi="ar-IQ"/>
        </w:rPr>
        <w:t xml:space="preserve">of Blood free triiodothyronine </w:t>
      </w:r>
      <w:r w:rsidR="00356D81">
        <w:rPr>
          <w:rFonts w:asciiTheme="majorBidi" w:hAnsiTheme="majorBidi" w:cstheme="majorBidi"/>
          <w:sz w:val="24"/>
          <w:szCs w:val="24"/>
          <w:lang w:bidi="ar-IQ"/>
        </w:rPr>
        <w:t>(</w:t>
      </w:r>
      <w:r w:rsidR="00CB73E9" w:rsidRPr="00CB73E9">
        <w:rPr>
          <w:rFonts w:asciiTheme="majorBidi" w:hAnsiTheme="majorBidi" w:cstheme="majorBidi"/>
          <w:sz w:val="24"/>
          <w:szCs w:val="24"/>
          <w:lang w:bidi="ar-IQ"/>
        </w:rPr>
        <w:t xml:space="preserve">FT3), free thyroid hormone </w:t>
      </w:r>
      <w:r w:rsidR="00356D81">
        <w:rPr>
          <w:rFonts w:asciiTheme="majorBidi" w:hAnsiTheme="majorBidi" w:cstheme="majorBidi"/>
          <w:sz w:val="24"/>
          <w:szCs w:val="24"/>
          <w:lang w:bidi="ar-IQ"/>
        </w:rPr>
        <w:t>(</w:t>
      </w:r>
      <w:r w:rsidR="00CB73E9" w:rsidRPr="00CB73E9">
        <w:rPr>
          <w:rFonts w:asciiTheme="majorBidi" w:hAnsiTheme="majorBidi" w:cstheme="majorBidi"/>
          <w:sz w:val="24"/>
          <w:szCs w:val="24"/>
          <w:lang w:bidi="ar-IQ"/>
        </w:rPr>
        <w:t xml:space="preserve">FT4), thyroid stimulating hormone </w:t>
      </w:r>
      <w:r w:rsidR="00356D81">
        <w:rPr>
          <w:rFonts w:asciiTheme="majorBidi" w:hAnsiTheme="majorBidi" w:cstheme="majorBidi"/>
          <w:sz w:val="24"/>
          <w:szCs w:val="24"/>
          <w:lang w:bidi="ar-IQ"/>
        </w:rPr>
        <w:t>(</w:t>
      </w:r>
      <w:r w:rsidR="00CB73E9" w:rsidRPr="00CB73E9">
        <w:rPr>
          <w:rFonts w:asciiTheme="majorBidi" w:hAnsiTheme="majorBidi" w:cstheme="majorBidi"/>
          <w:sz w:val="24"/>
          <w:szCs w:val="24"/>
          <w:lang w:bidi="ar-IQ"/>
        </w:rPr>
        <w:t xml:space="preserve">TSH), bone resorption index type I collagen C-terminal peptide </w:t>
      </w:r>
      <w:r w:rsidR="00356D81">
        <w:rPr>
          <w:rFonts w:asciiTheme="majorBidi" w:hAnsiTheme="majorBidi" w:cstheme="majorBidi"/>
          <w:sz w:val="24"/>
          <w:szCs w:val="24"/>
          <w:lang w:bidi="ar-IQ"/>
        </w:rPr>
        <w:t>(</w:t>
      </w:r>
      <w:r>
        <w:rPr>
          <w:rFonts w:asciiTheme="majorBidi" w:hAnsiTheme="majorBidi" w:cstheme="majorBidi"/>
          <w:sz w:val="24"/>
          <w:szCs w:val="24"/>
          <w:lang w:bidi="ar-IQ"/>
        </w:rPr>
        <w:t>C</w:t>
      </w:r>
      <w:r w:rsidR="00CB73E9" w:rsidRPr="00CB73E9">
        <w:rPr>
          <w:rFonts w:asciiTheme="majorBidi" w:hAnsiTheme="majorBidi" w:cstheme="majorBidi"/>
          <w:sz w:val="24"/>
          <w:szCs w:val="24"/>
          <w:lang w:bidi="ar-IQ"/>
        </w:rPr>
        <w:t xml:space="preserve">TX-1), the serum calcium (Ca2+), serum phosphorus (Pi3+), the bone mineral density of lumbar spine and femoral neck. </w:t>
      </w:r>
      <w:r w:rsidR="00356D81">
        <w:rPr>
          <w:rFonts w:asciiTheme="majorBidi" w:hAnsiTheme="majorBidi" w:cstheme="majorBidi"/>
          <w:b/>
          <w:bCs/>
          <w:sz w:val="24"/>
          <w:szCs w:val="24"/>
          <w:lang w:bidi="ar-IQ"/>
        </w:rPr>
        <w:t xml:space="preserve">The results showed that </w:t>
      </w:r>
      <w:r>
        <w:rPr>
          <w:rFonts w:asciiTheme="majorBidi" w:hAnsiTheme="majorBidi" w:cstheme="majorBidi"/>
          <w:sz w:val="24"/>
          <w:szCs w:val="24"/>
          <w:lang w:bidi="ar-IQ"/>
        </w:rPr>
        <w:t>In</w:t>
      </w:r>
      <w:r w:rsidR="00356D81">
        <w:rPr>
          <w:rFonts w:asciiTheme="majorBidi" w:hAnsiTheme="majorBidi" w:cstheme="majorBidi"/>
          <w:sz w:val="24"/>
          <w:szCs w:val="24"/>
          <w:lang w:bidi="ar-IQ"/>
        </w:rPr>
        <w:t xml:space="preserve"> the</w:t>
      </w:r>
      <w:r>
        <w:rPr>
          <w:rFonts w:asciiTheme="majorBidi" w:hAnsiTheme="majorBidi" w:cstheme="majorBidi"/>
          <w:sz w:val="24"/>
          <w:szCs w:val="24"/>
          <w:lang w:bidi="ar-IQ"/>
        </w:rPr>
        <w:t xml:space="preserve"> </w:t>
      </w:r>
      <w:r w:rsidR="00CB73E9" w:rsidRPr="00CB73E9">
        <w:rPr>
          <w:rFonts w:asciiTheme="majorBidi" w:hAnsiTheme="majorBidi" w:cstheme="majorBidi"/>
          <w:sz w:val="24"/>
          <w:szCs w:val="24"/>
          <w:lang w:bidi="ar-IQ"/>
        </w:rPr>
        <w:t>hypothyroidism</w:t>
      </w:r>
      <w:r>
        <w:rPr>
          <w:rFonts w:asciiTheme="majorBidi" w:hAnsiTheme="majorBidi" w:cstheme="majorBidi"/>
          <w:sz w:val="24"/>
          <w:szCs w:val="24"/>
          <w:lang w:bidi="ar-IQ"/>
        </w:rPr>
        <w:t xml:space="preserve"> men group, 1. The bone mass was </w:t>
      </w:r>
      <w:r w:rsidR="00CB73E9" w:rsidRPr="00CB73E9">
        <w:rPr>
          <w:rFonts w:asciiTheme="majorBidi" w:hAnsiTheme="majorBidi" w:cstheme="majorBidi"/>
          <w:sz w:val="24"/>
          <w:szCs w:val="24"/>
          <w:lang w:bidi="ar-IQ"/>
        </w:rPr>
        <w:t>lower</w:t>
      </w:r>
      <w:r>
        <w:rPr>
          <w:rFonts w:asciiTheme="majorBidi" w:hAnsiTheme="majorBidi" w:cstheme="majorBidi"/>
          <w:sz w:val="24"/>
          <w:szCs w:val="24"/>
          <w:lang w:bidi="ar-IQ"/>
        </w:rPr>
        <w:t xml:space="preserve"> than the control group</w:t>
      </w:r>
      <w:r w:rsidR="003D6963">
        <w:rPr>
          <w:rFonts w:asciiTheme="majorBidi" w:hAnsiTheme="majorBidi" w:cstheme="majorBidi"/>
          <w:sz w:val="24"/>
          <w:szCs w:val="24"/>
          <w:lang w:bidi="ar-IQ"/>
        </w:rPr>
        <w:t xml:space="preserve"> in significant differences </w:t>
      </w:r>
      <w:r>
        <w:rPr>
          <w:rFonts w:asciiTheme="majorBidi" w:hAnsiTheme="majorBidi" w:cstheme="majorBidi"/>
          <w:sz w:val="24"/>
          <w:szCs w:val="24"/>
          <w:lang w:bidi="ar-IQ"/>
        </w:rPr>
        <w:t>. 2.</w:t>
      </w:r>
      <w:r w:rsidR="00CB73E9" w:rsidRPr="00CB73E9">
        <w:rPr>
          <w:rFonts w:asciiTheme="majorBidi" w:hAnsiTheme="majorBidi" w:cstheme="majorBidi"/>
          <w:sz w:val="24"/>
          <w:szCs w:val="24"/>
          <w:lang w:bidi="ar-IQ"/>
        </w:rPr>
        <w:t xml:space="preserve"> The level of bone r</w:t>
      </w:r>
      <w:r>
        <w:rPr>
          <w:rFonts w:asciiTheme="majorBidi" w:hAnsiTheme="majorBidi" w:cstheme="majorBidi"/>
          <w:sz w:val="24"/>
          <w:szCs w:val="24"/>
          <w:lang w:bidi="ar-IQ"/>
        </w:rPr>
        <w:t xml:space="preserve">esorption index CTX-1 </w:t>
      </w:r>
      <w:r w:rsidR="00CB73E9" w:rsidRPr="00CB73E9">
        <w:rPr>
          <w:rFonts w:asciiTheme="majorBidi" w:hAnsiTheme="majorBidi" w:cstheme="majorBidi"/>
          <w:sz w:val="24"/>
          <w:szCs w:val="24"/>
          <w:lang w:bidi="ar-IQ"/>
        </w:rPr>
        <w:t>was significantly higher than that in control group; calcium and phosphorus</w:t>
      </w:r>
      <w:r>
        <w:rPr>
          <w:rFonts w:asciiTheme="majorBidi" w:hAnsiTheme="majorBidi" w:cstheme="majorBidi"/>
          <w:sz w:val="24"/>
          <w:szCs w:val="24"/>
          <w:lang w:bidi="ar-IQ"/>
        </w:rPr>
        <w:t xml:space="preserve"> </w:t>
      </w:r>
      <w:r w:rsidR="00B22238">
        <w:rPr>
          <w:rFonts w:asciiTheme="majorBidi" w:hAnsiTheme="majorBidi" w:cstheme="majorBidi"/>
          <w:sz w:val="24"/>
          <w:szCs w:val="24"/>
          <w:lang w:bidi="ar-IQ"/>
        </w:rPr>
        <w:t xml:space="preserve">were not </w:t>
      </w:r>
      <w:r w:rsidR="003D6963">
        <w:rPr>
          <w:rFonts w:asciiTheme="majorBidi" w:hAnsiTheme="majorBidi" w:cstheme="majorBidi"/>
          <w:sz w:val="24"/>
          <w:szCs w:val="24"/>
          <w:lang w:bidi="ar-IQ"/>
        </w:rPr>
        <w:t>differing</w:t>
      </w:r>
      <w:r w:rsidR="00CB73E9" w:rsidRPr="00CB73E9">
        <w:rPr>
          <w:rFonts w:asciiTheme="majorBidi" w:hAnsiTheme="majorBidi" w:cstheme="majorBidi"/>
          <w:sz w:val="24"/>
          <w:szCs w:val="24"/>
          <w:lang w:bidi="ar-IQ"/>
        </w:rPr>
        <w:t xml:space="preserve"> from those in </w:t>
      </w:r>
      <w:r w:rsidR="0080254A">
        <w:rPr>
          <w:rFonts w:asciiTheme="majorBidi" w:hAnsiTheme="majorBidi" w:cstheme="majorBidi"/>
          <w:sz w:val="24"/>
          <w:szCs w:val="24"/>
          <w:lang w:bidi="ar-IQ"/>
        </w:rPr>
        <w:t xml:space="preserve">healthy </w:t>
      </w:r>
      <w:r w:rsidR="00CB73E9" w:rsidRPr="00CB73E9">
        <w:rPr>
          <w:rFonts w:asciiTheme="majorBidi" w:hAnsiTheme="majorBidi" w:cstheme="majorBidi"/>
          <w:sz w:val="24"/>
          <w:szCs w:val="24"/>
          <w:lang w:bidi="ar-IQ"/>
        </w:rPr>
        <w:t>contro</w:t>
      </w:r>
      <w:r w:rsidR="0080254A">
        <w:rPr>
          <w:rFonts w:asciiTheme="majorBidi" w:hAnsiTheme="majorBidi" w:cstheme="majorBidi"/>
          <w:sz w:val="24"/>
          <w:szCs w:val="24"/>
          <w:lang w:bidi="ar-IQ"/>
        </w:rPr>
        <w:t>l subjects</w:t>
      </w:r>
      <w:r w:rsidR="00CB73E9" w:rsidRPr="00CB73E9">
        <w:rPr>
          <w:rFonts w:asciiTheme="majorBidi" w:hAnsiTheme="majorBidi" w:cstheme="majorBidi"/>
          <w:sz w:val="24"/>
          <w:szCs w:val="24"/>
          <w:lang w:bidi="ar-IQ"/>
        </w:rPr>
        <w:t>. 3) TSH is positively correlated with CTX-1. male TSH and CTX-1 were positively correlated</w:t>
      </w:r>
      <w:r w:rsidR="00CB73E9">
        <w:rPr>
          <w:rFonts w:asciiTheme="majorBidi" w:hAnsiTheme="majorBidi" w:cstheme="majorBidi"/>
          <w:sz w:val="24"/>
          <w:szCs w:val="24"/>
          <w:lang w:bidi="ar-IQ"/>
        </w:rPr>
        <w:t>.</w:t>
      </w:r>
      <w:r w:rsidR="00CB73E9" w:rsidRPr="00CB73E9">
        <w:rPr>
          <w:rFonts w:asciiTheme="majorBidi" w:hAnsiTheme="majorBidi" w:cs="Times New Roman"/>
          <w:sz w:val="24"/>
          <w:szCs w:val="24"/>
          <w:rtl/>
          <w:lang w:bidi="ar-IQ"/>
        </w:rPr>
        <w:t xml:space="preserve"> </w:t>
      </w:r>
      <w:r w:rsidR="00CB73E9" w:rsidRPr="00CB73E9">
        <w:rPr>
          <w:rFonts w:asciiTheme="majorBidi" w:hAnsiTheme="majorBidi" w:cstheme="majorBidi"/>
          <w:b/>
          <w:bCs/>
          <w:sz w:val="24"/>
          <w:szCs w:val="24"/>
          <w:lang w:bidi="ar-IQ"/>
        </w:rPr>
        <w:t>Conclusions:</w:t>
      </w:r>
      <w:r w:rsidR="00CB73E9" w:rsidRPr="00CB73E9">
        <w:rPr>
          <w:rFonts w:asciiTheme="majorBidi" w:hAnsiTheme="majorBidi" w:cstheme="majorBidi"/>
          <w:sz w:val="24"/>
          <w:szCs w:val="24"/>
          <w:lang w:bidi="ar-IQ"/>
        </w:rPr>
        <w:t xml:space="preserve"> There is bone loss in men with hypothyroidism, which may be related to increased bone resorption</w:t>
      </w:r>
      <w:r w:rsidR="00CB73E9" w:rsidRPr="00CB73E9">
        <w:rPr>
          <w:rFonts w:asciiTheme="majorBidi" w:hAnsiTheme="majorBidi" w:cs="Times New Roman"/>
          <w:sz w:val="24"/>
          <w:szCs w:val="24"/>
          <w:rtl/>
          <w:lang w:bidi="ar-IQ"/>
        </w:rPr>
        <w:t>.</w:t>
      </w:r>
    </w:p>
    <w:p w14:paraId="6D7200E4" w14:textId="77777777" w:rsidR="00CB73E9" w:rsidRPr="00CB73E9" w:rsidRDefault="00CB73E9" w:rsidP="00C6263D">
      <w:pPr>
        <w:bidi w:val="0"/>
        <w:jc w:val="both"/>
        <w:rPr>
          <w:rFonts w:asciiTheme="majorBidi" w:hAnsiTheme="majorBidi" w:cstheme="majorBidi"/>
          <w:b/>
          <w:bCs/>
          <w:sz w:val="24"/>
          <w:szCs w:val="24"/>
          <w:lang w:bidi="ar-IQ"/>
        </w:rPr>
      </w:pPr>
      <w:r w:rsidRPr="00CB73E9">
        <w:rPr>
          <w:rFonts w:asciiTheme="majorBidi" w:hAnsiTheme="majorBidi" w:cstheme="majorBidi"/>
          <w:b/>
          <w:bCs/>
          <w:sz w:val="24"/>
          <w:szCs w:val="24"/>
          <w:lang w:bidi="ar-IQ"/>
        </w:rPr>
        <w:t>Keywords</w:t>
      </w:r>
      <w:r w:rsidRPr="00CB73E9">
        <w:rPr>
          <w:rFonts w:asciiTheme="majorBidi" w:hAnsiTheme="majorBidi" w:cs="Times New Roman"/>
          <w:b/>
          <w:bCs/>
          <w:sz w:val="24"/>
          <w:szCs w:val="24"/>
          <w:rtl/>
          <w:lang w:bidi="ar-IQ"/>
        </w:rPr>
        <w:t xml:space="preserve"> </w:t>
      </w:r>
    </w:p>
    <w:p w14:paraId="499909D6" w14:textId="77777777" w:rsidR="00116D65" w:rsidRPr="00CB73E9" w:rsidRDefault="00C4604B" w:rsidP="00C6263D">
      <w:pPr>
        <w:bidi w:val="0"/>
        <w:jc w:val="both"/>
        <w:rPr>
          <w:rFonts w:asciiTheme="majorBidi" w:hAnsiTheme="majorBidi" w:cstheme="majorBidi"/>
          <w:sz w:val="24"/>
          <w:szCs w:val="24"/>
          <w:rtl/>
          <w:lang w:bidi="ar-IQ"/>
        </w:rPr>
      </w:pPr>
      <w:r>
        <w:rPr>
          <w:rFonts w:asciiTheme="majorBidi" w:hAnsiTheme="majorBidi" w:cstheme="majorBidi"/>
          <w:sz w:val="24"/>
          <w:szCs w:val="24"/>
          <w:lang w:bidi="ar-IQ"/>
        </w:rPr>
        <w:t>Hypothyroidism, bone metabolism,</w:t>
      </w:r>
      <w:r w:rsidR="00CB73E9" w:rsidRPr="00CB73E9">
        <w:rPr>
          <w:rFonts w:asciiTheme="majorBidi" w:hAnsiTheme="majorBidi" w:cstheme="majorBidi"/>
          <w:sz w:val="24"/>
          <w:szCs w:val="24"/>
          <w:lang w:bidi="ar-IQ"/>
        </w:rPr>
        <w:t xml:space="preserve"> bone mineral density</w:t>
      </w:r>
    </w:p>
    <w:p w14:paraId="0F1B3CDF" w14:textId="77777777" w:rsidR="00116D65" w:rsidRPr="00116D65" w:rsidRDefault="00116D65" w:rsidP="00C6263D">
      <w:pPr>
        <w:bidi w:val="0"/>
        <w:jc w:val="both"/>
        <w:rPr>
          <w:rFonts w:asciiTheme="majorBidi" w:hAnsiTheme="majorBidi" w:cstheme="majorBidi"/>
          <w:sz w:val="28"/>
          <w:szCs w:val="28"/>
          <w:rtl/>
          <w:lang w:bidi="ar-IQ"/>
        </w:rPr>
      </w:pPr>
    </w:p>
    <w:p w14:paraId="22FB0098" w14:textId="77777777" w:rsidR="004B2C98" w:rsidRDefault="005A21A5" w:rsidP="00C6263D">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Introduction</w:t>
      </w:r>
    </w:p>
    <w:p w14:paraId="125288EF" w14:textId="77777777" w:rsidR="005A21A5" w:rsidRDefault="005A21A5" w:rsidP="00C6263D">
      <w:pPr>
        <w:bidi w:val="0"/>
        <w:jc w:val="both"/>
        <w:rPr>
          <w:rFonts w:asciiTheme="majorBidi" w:hAnsiTheme="majorBidi" w:cstheme="majorBidi"/>
          <w:sz w:val="24"/>
          <w:szCs w:val="24"/>
          <w:lang w:bidi="ar-IQ"/>
        </w:rPr>
      </w:pPr>
      <w:r w:rsidRPr="005A21A5">
        <w:rPr>
          <w:rFonts w:asciiTheme="majorBidi" w:hAnsiTheme="majorBidi" w:cstheme="majorBidi"/>
          <w:sz w:val="24"/>
          <w:szCs w:val="24"/>
          <w:lang w:bidi="ar-IQ"/>
        </w:rPr>
        <w:t xml:space="preserve">Recent studies have shown that thyroid-stimulating hormone (TSH) </w:t>
      </w:r>
      <w:r w:rsidR="003D6963">
        <w:rPr>
          <w:rFonts w:asciiTheme="majorBidi" w:hAnsiTheme="majorBidi" w:cstheme="majorBidi"/>
          <w:sz w:val="24"/>
          <w:szCs w:val="24"/>
          <w:lang w:bidi="ar-IQ"/>
        </w:rPr>
        <w:t>have major</w:t>
      </w:r>
      <w:r w:rsidRPr="005A21A5">
        <w:rPr>
          <w:rFonts w:asciiTheme="majorBidi" w:hAnsiTheme="majorBidi" w:cstheme="majorBidi"/>
          <w:sz w:val="24"/>
          <w:szCs w:val="24"/>
          <w:lang w:bidi="ar-IQ"/>
        </w:rPr>
        <w:t xml:space="preserve"> regulatory role in bone remodeling independently of thyroid hormone [1-</w:t>
      </w:r>
      <w:r w:rsidR="005C7579">
        <w:rPr>
          <w:rFonts w:asciiTheme="majorBidi" w:hAnsiTheme="majorBidi" w:cstheme="majorBidi"/>
          <w:sz w:val="24"/>
          <w:szCs w:val="24"/>
          <w:lang w:bidi="ar-IQ"/>
        </w:rPr>
        <w:t>2</w:t>
      </w:r>
      <w:r w:rsidRPr="005A21A5">
        <w:rPr>
          <w:rFonts w:asciiTheme="majorBidi" w:hAnsiTheme="majorBidi" w:cstheme="majorBidi"/>
          <w:sz w:val="24"/>
          <w:szCs w:val="24"/>
          <w:lang w:bidi="ar-IQ"/>
        </w:rPr>
        <w:t xml:space="preserve">]. Patients with subclinical hypothyroidism have elevated serum TSH and </w:t>
      </w:r>
      <w:r w:rsidR="003D6963">
        <w:rPr>
          <w:rFonts w:asciiTheme="majorBidi" w:hAnsiTheme="majorBidi" w:cstheme="majorBidi"/>
          <w:sz w:val="24"/>
          <w:szCs w:val="24"/>
          <w:lang w:bidi="ar-IQ"/>
        </w:rPr>
        <w:t xml:space="preserve">normal value of </w:t>
      </w:r>
      <w:r w:rsidRPr="005A21A5">
        <w:rPr>
          <w:rFonts w:asciiTheme="majorBidi" w:hAnsiTheme="majorBidi" w:cstheme="majorBidi"/>
          <w:sz w:val="24"/>
          <w:szCs w:val="24"/>
          <w:lang w:bidi="ar-IQ"/>
        </w:rPr>
        <w:t xml:space="preserve">thyroid hormone, so it is a suitable model to study the role of TSH in regulating bone metabolism. At present, there is still controversy about the </w:t>
      </w:r>
      <w:r w:rsidR="003D6963">
        <w:rPr>
          <w:rFonts w:asciiTheme="majorBidi" w:hAnsiTheme="majorBidi" w:cstheme="majorBidi"/>
          <w:sz w:val="24"/>
          <w:szCs w:val="24"/>
          <w:lang w:bidi="ar-IQ"/>
        </w:rPr>
        <w:t>impact</w:t>
      </w:r>
      <w:r w:rsidRPr="005A21A5">
        <w:rPr>
          <w:rFonts w:asciiTheme="majorBidi" w:hAnsiTheme="majorBidi" w:cstheme="majorBidi"/>
          <w:sz w:val="24"/>
          <w:szCs w:val="24"/>
          <w:lang w:bidi="ar-IQ"/>
        </w:rPr>
        <w:t xml:space="preserve"> of TSH on bone mineral density and bone metabolism in domestic and foreign studies. The study by Jin Yunyun et al[</w:t>
      </w:r>
      <w:r w:rsidR="005C7579">
        <w:rPr>
          <w:rFonts w:asciiTheme="majorBidi" w:hAnsiTheme="majorBidi" w:cstheme="majorBidi"/>
          <w:sz w:val="24"/>
          <w:szCs w:val="24"/>
          <w:lang w:bidi="ar-IQ"/>
        </w:rPr>
        <w:t>3-</w:t>
      </w:r>
      <w:r w:rsidR="0080254A">
        <w:rPr>
          <w:rFonts w:asciiTheme="majorBidi" w:hAnsiTheme="majorBidi" w:cstheme="majorBidi"/>
          <w:sz w:val="24"/>
          <w:szCs w:val="24"/>
          <w:lang w:bidi="ar-IQ"/>
        </w:rPr>
        <w:t xml:space="preserve">4] showed that </w:t>
      </w:r>
      <w:r w:rsidRPr="005A21A5">
        <w:rPr>
          <w:rFonts w:asciiTheme="majorBidi" w:hAnsiTheme="majorBidi" w:cstheme="majorBidi"/>
          <w:sz w:val="24"/>
          <w:szCs w:val="24"/>
          <w:lang w:bidi="ar-IQ"/>
        </w:rPr>
        <w:t xml:space="preserve">hypothyroidism may cause bone loss and decrease in bone mineral density. </w:t>
      </w:r>
      <w:r w:rsidR="003D6963">
        <w:rPr>
          <w:rFonts w:asciiTheme="majorBidi" w:hAnsiTheme="majorBidi" w:cstheme="majorBidi"/>
          <w:sz w:val="24"/>
          <w:szCs w:val="24"/>
          <w:lang w:bidi="ar-IQ"/>
        </w:rPr>
        <w:t xml:space="preserve">An investigation </w:t>
      </w:r>
      <w:r w:rsidR="003D6963" w:rsidRPr="005A21A5">
        <w:rPr>
          <w:rFonts w:asciiTheme="majorBidi" w:hAnsiTheme="majorBidi" w:cstheme="majorBidi"/>
          <w:sz w:val="24"/>
          <w:szCs w:val="24"/>
          <w:lang w:bidi="ar-IQ"/>
        </w:rPr>
        <w:t>pointed</w:t>
      </w:r>
      <w:r w:rsidRPr="005A21A5">
        <w:rPr>
          <w:rFonts w:asciiTheme="majorBidi" w:hAnsiTheme="majorBidi" w:cstheme="majorBidi"/>
          <w:sz w:val="24"/>
          <w:szCs w:val="24"/>
          <w:lang w:bidi="ar-IQ"/>
        </w:rPr>
        <w:t xml:space="preserve"> out that the bone mineral densi</w:t>
      </w:r>
      <w:r w:rsidR="0080254A">
        <w:rPr>
          <w:rFonts w:asciiTheme="majorBidi" w:hAnsiTheme="majorBidi" w:cstheme="majorBidi"/>
          <w:sz w:val="24"/>
          <w:szCs w:val="24"/>
          <w:lang w:bidi="ar-IQ"/>
        </w:rPr>
        <w:t xml:space="preserve">ty of patients with </w:t>
      </w:r>
      <w:r w:rsidRPr="005A21A5">
        <w:rPr>
          <w:rFonts w:asciiTheme="majorBidi" w:hAnsiTheme="majorBidi" w:cstheme="majorBidi"/>
          <w:sz w:val="24"/>
          <w:szCs w:val="24"/>
          <w:lang w:bidi="ar-IQ"/>
        </w:rPr>
        <w:t xml:space="preserve">hypothyroidism is affected by serum TSH. However, a multicenter study in the United States did not </w:t>
      </w:r>
      <w:r w:rsidR="003D6963">
        <w:rPr>
          <w:rFonts w:asciiTheme="majorBidi" w:hAnsiTheme="majorBidi" w:cstheme="majorBidi"/>
          <w:sz w:val="24"/>
          <w:szCs w:val="24"/>
          <w:lang w:bidi="ar-IQ"/>
        </w:rPr>
        <w:t>observe</w:t>
      </w:r>
      <w:r w:rsidRPr="005A21A5">
        <w:rPr>
          <w:rFonts w:asciiTheme="majorBidi" w:hAnsiTheme="majorBidi" w:cstheme="majorBidi"/>
          <w:sz w:val="24"/>
          <w:szCs w:val="24"/>
          <w:lang w:bidi="ar-IQ"/>
        </w:rPr>
        <w:t xml:space="preserve"> a significant correlation between TSH and bone </w:t>
      </w:r>
      <w:r w:rsidRPr="005A21A5">
        <w:rPr>
          <w:rFonts w:asciiTheme="majorBidi" w:hAnsiTheme="majorBidi" w:cstheme="majorBidi"/>
          <w:sz w:val="24"/>
          <w:szCs w:val="24"/>
          <w:lang w:bidi="ar-IQ"/>
        </w:rPr>
        <w:lastRenderedPageBreak/>
        <w:t>mass [5]. Therefore, in this study, by measuring the bone mineral density and bone metabolism in</w:t>
      </w:r>
      <w:r w:rsidR="0080254A">
        <w:rPr>
          <w:rFonts w:asciiTheme="majorBidi" w:hAnsiTheme="majorBidi" w:cstheme="majorBidi"/>
          <w:sz w:val="24"/>
          <w:szCs w:val="24"/>
          <w:lang w:bidi="ar-IQ"/>
        </w:rPr>
        <w:t xml:space="preserve">dexes of </w:t>
      </w:r>
      <w:r w:rsidR="003D6963">
        <w:rPr>
          <w:rFonts w:asciiTheme="majorBidi" w:hAnsiTheme="majorBidi" w:cstheme="majorBidi"/>
          <w:sz w:val="24"/>
          <w:szCs w:val="24"/>
          <w:lang w:bidi="ar-IQ"/>
        </w:rPr>
        <w:t>cases</w:t>
      </w:r>
      <w:r w:rsidR="0080254A">
        <w:rPr>
          <w:rFonts w:asciiTheme="majorBidi" w:hAnsiTheme="majorBidi" w:cstheme="majorBidi"/>
          <w:sz w:val="24"/>
          <w:szCs w:val="24"/>
          <w:lang w:bidi="ar-IQ"/>
        </w:rPr>
        <w:t xml:space="preserve"> with hypothyroidism</w:t>
      </w:r>
      <w:r w:rsidRPr="005A21A5">
        <w:rPr>
          <w:rFonts w:asciiTheme="majorBidi" w:hAnsiTheme="majorBidi" w:cstheme="majorBidi"/>
          <w:sz w:val="24"/>
          <w:szCs w:val="24"/>
          <w:lang w:bidi="ar-IQ"/>
        </w:rPr>
        <w:t xml:space="preserve">, and comparing them with the normal control group, this study explored the </w:t>
      </w:r>
      <w:r w:rsidR="003D6963">
        <w:rPr>
          <w:rFonts w:asciiTheme="majorBidi" w:hAnsiTheme="majorBidi" w:cstheme="majorBidi"/>
          <w:sz w:val="24"/>
          <w:szCs w:val="24"/>
          <w:lang w:bidi="ar-IQ"/>
        </w:rPr>
        <w:t>impact</w:t>
      </w:r>
      <w:r w:rsidRPr="005A21A5">
        <w:rPr>
          <w:rFonts w:asciiTheme="majorBidi" w:hAnsiTheme="majorBidi" w:cstheme="majorBidi"/>
          <w:sz w:val="24"/>
          <w:szCs w:val="24"/>
          <w:lang w:bidi="ar-IQ"/>
        </w:rPr>
        <w:t xml:space="preserve"> of TSH on </w:t>
      </w:r>
      <w:r w:rsidR="003D6963" w:rsidRPr="005A21A5">
        <w:rPr>
          <w:rFonts w:asciiTheme="majorBidi" w:hAnsiTheme="majorBidi" w:cstheme="majorBidi"/>
          <w:sz w:val="24"/>
          <w:szCs w:val="24"/>
          <w:lang w:bidi="ar-IQ"/>
        </w:rPr>
        <w:t xml:space="preserve">bone metabolism indexes </w:t>
      </w:r>
      <w:r w:rsidR="003D6963">
        <w:rPr>
          <w:rFonts w:asciiTheme="majorBidi" w:hAnsiTheme="majorBidi" w:cstheme="majorBidi"/>
          <w:sz w:val="24"/>
          <w:szCs w:val="24"/>
          <w:lang w:bidi="ar-IQ"/>
        </w:rPr>
        <w:t xml:space="preserve">and </w:t>
      </w:r>
      <w:r w:rsidRPr="005A21A5">
        <w:rPr>
          <w:rFonts w:asciiTheme="majorBidi" w:hAnsiTheme="majorBidi" w:cstheme="majorBidi"/>
          <w:sz w:val="24"/>
          <w:szCs w:val="24"/>
          <w:lang w:bidi="ar-IQ"/>
        </w:rPr>
        <w:t>bone mineral density in hypothyroidism men.</w:t>
      </w:r>
    </w:p>
    <w:p w14:paraId="035BF7C5" w14:textId="77777777" w:rsidR="005A21A5" w:rsidRDefault="005A21A5" w:rsidP="00C6263D">
      <w:pPr>
        <w:bidi w:val="0"/>
        <w:jc w:val="both"/>
        <w:rPr>
          <w:rFonts w:asciiTheme="majorBidi" w:hAnsiTheme="majorBidi" w:cstheme="majorBidi"/>
          <w:b/>
          <w:bCs/>
          <w:sz w:val="24"/>
          <w:szCs w:val="24"/>
          <w:lang w:bidi="ar-IQ"/>
        </w:rPr>
      </w:pPr>
      <w:r w:rsidRPr="005A21A5">
        <w:rPr>
          <w:rFonts w:asciiTheme="majorBidi" w:hAnsiTheme="majorBidi" w:cstheme="majorBidi"/>
          <w:b/>
          <w:bCs/>
          <w:sz w:val="24"/>
          <w:szCs w:val="24"/>
          <w:lang w:bidi="ar-IQ"/>
        </w:rPr>
        <w:t>Materials and Methods</w:t>
      </w:r>
    </w:p>
    <w:p w14:paraId="7A3CE3DB" w14:textId="77777777" w:rsidR="005A21A5" w:rsidRDefault="009D01A4" w:rsidP="00C6263D">
      <w:pPr>
        <w:bidi w:val="0"/>
        <w:jc w:val="both"/>
        <w:rPr>
          <w:rFonts w:asciiTheme="majorBidi" w:hAnsiTheme="majorBidi" w:cstheme="majorBidi"/>
          <w:sz w:val="24"/>
          <w:szCs w:val="24"/>
          <w:lang w:bidi="ar-IQ"/>
        </w:rPr>
      </w:pPr>
      <w:r w:rsidRPr="009D01A4">
        <w:rPr>
          <w:rFonts w:asciiTheme="majorBidi" w:hAnsiTheme="majorBidi" w:cstheme="majorBidi"/>
          <w:sz w:val="24"/>
          <w:szCs w:val="24"/>
          <w:lang w:bidi="ar-IQ"/>
        </w:rPr>
        <w:t xml:space="preserve">A </w:t>
      </w:r>
      <w:r w:rsidR="003D6963">
        <w:rPr>
          <w:rFonts w:asciiTheme="majorBidi" w:hAnsiTheme="majorBidi" w:cstheme="majorBidi"/>
          <w:sz w:val="24"/>
          <w:szCs w:val="24"/>
          <w:lang w:bidi="ar-IQ"/>
        </w:rPr>
        <w:t xml:space="preserve">bout </w:t>
      </w:r>
      <w:r w:rsidRPr="009D01A4">
        <w:rPr>
          <w:rFonts w:asciiTheme="majorBidi" w:hAnsiTheme="majorBidi" w:cstheme="majorBidi"/>
          <w:sz w:val="24"/>
          <w:szCs w:val="24"/>
          <w:lang w:bidi="ar-IQ"/>
        </w:rPr>
        <w:t xml:space="preserve"> </w:t>
      </w:r>
      <w:r w:rsidR="00082CDE">
        <w:rPr>
          <w:rFonts w:asciiTheme="majorBidi" w:hAnsiTheme="majorBidi" w:cstheme="majorBidi"/>
          <w:sz w:val="24"/>
          <w:szCs w:val="24"/>
          <w:lang w:bidi="ar-IQ"/>
        </w:rPr>
        <w:t>210</w:t>
      </w:r>
      <w:r w:rsidRPr="009D01A4">
        <w:rPr>
          <w:rFonts w:asciiTheme="majorBidi" w:hAnsiTheme="majorBidi" w:cstheme="majorBidi"/>
          <w:sz w:val="24"/>
          <w:szCs w:val="24"/>
          <w:lang w:bidi="ar-IQ"/>
        </w:rPr>
        <w:t xml:space="preserve"> </w:t>
      </w:r>
      <w:r w:rsidR="003D6963">
        <w:rPr>
          <w:rFonts w:asciiTheme="majorBidi" w:hAnsiTheme="majorBidi" w:cstheme="majorBidi"/>
          <w:sz w:val="24"/>
          <w:szCs w:val="24"/>
          <w:lang w:bidi="ar-IQ"/>
        </w:rPr>
        <w:t xml:space="preserve">cases </w:t>
      </w:r>
      <w:r w:rsidR="008667BB">
        <w:rPr>
          <w:rFonts w:asciiTheme="majorBidi" w:hAnsiTheme="majorBidi" w:cstheme="majorBidi"/>
          <w:sz w:val="24"/>
          <w:szCs w:val="24"/>
          <w:lang w:bidi="ar-IQ"/>
        </w:rPr>
        <w:t xml:space="preserve"> who were examined in Marjan t</w:t>
      </w:r>
      <w:r w:rsidRPr="009D01A4">
        <w:rPr>
          <w:rFonts w:asciiTheme="majorBidi" w:hAnsiTheme="majorBidi" w:cstheme="majorBidi"/>
          <w:sz w:val="24"/>
          <w:szCs w:val="24"/>
          <w:lang w:bidi="ar-IQ"/>
        </w:rPr>
        <w:t>eaching hospital from October 2020 to October 2021 were selected. Among them, 1</w:t>
      </w:r>
      <w:r w:rsidR="00082CDE">
        <w:rPr>
          <w:rFonts w:asciiTheme="majorBidi" w:hAnsiTheme="majorBidi" w:cstheme="majorBidi"/>
          <w:sz w:val="24"/>
          <w:szCs w:val="24"/>
          <w:lang w:bidi="ar-IQ"/>
        </w:rPr>
        <w:t>2</w:t>
      </w:r>
      <w:r w:rsidRPr="009D01A4">
        <w:rPr>
          <w:rFonts w:asciiTheme="majorBidi" w:hAnsiTheme="majorBidi" w:cstheme="majorBidi"/>
          <w:sz w:val="24"/>
          <w:szCs w:val="24"/>
          <w:lang w:bidi="ar-IQ"/>
        </w:rPr>
        <w:t>0 healthy men were the control group wi</w:t>
      </w:r>
      <w:r w:rsidR="008F0461">
        <w:rPr>
          <w:rFonts w:asciiTheme="majorBidi" w:hAnsiTheme="majorBidi" w:cstheme="majorBidi"/>
          <w:sz w:val="24"/>
          <w:szCs w:val="24"/>
          <w:lang w:bidi="ar-IQ"/>
        </w:rPr>
        <w:t>th an average age of (52.97 ± 1.55</w:t>
      </w:r>
      <w:r w:rsidRPr="009D01A4">
        <w:rPr>
          <w:rFonts w:asciiTheme="majorBidi" w:hAnsiTheme="majorBidi" w:cstheme="majorBidi"/>
          <w:sz w:val="24"/>
          <w:szCs w:val="24"/>
          <w:lang w:bidi="ar-IQ"/>
        </w:rPr>
        <w:t>) years old, BMI (</w:t>
      </w:r>
      <w:r w:rsidR="008F0461">
        <w:rPr>
          <w:rFonts w:asciiTheme="majorBidi" w:hAnsiTheme="majorBidi" w:cstheme="majorBidi"/>
          <w:sz w:val="24"/>
          <w:szCs w:val="24"/>
          <w:lang w:bidi="ar-IQ"/>
        </w:rPr>
        <w:t>23.50 ± 1.05</w:t>
      </w:r>
      <w:r w:rsidRPr="009D01A4">
        <w:rPr>
          <w:rFonts w:asciiTheme="majorBidi" w:hAnsiTheme="majorBidi" w:cstheme="majorBidi"/>
          <w:sz w:val="24"/>
          <w:szCs w:val="24"/>
          <w:lang w:bidi="ar-IQ"/>
        </w:rPr>
        <w:t xml:space="preserve">) kg/m2; </w:t>
      </w:r>
      <w:r w:rsidR="00082CDE">
        <w:rPr>
          <w:rFonts w:asciiTheme="majorBidi" w:hAnsiTheme="majorBidi" w:cstheme="majorBidi"/>
          <w:sz w:val="24"/>
          <w:szCs w:val="24"/>
          <w:lang w:bidi="ar-IQ"/>
        </w:rPr>
        <w:t>9</w:t>
      </w:r>
      <w:r w:rsidRPr="009D01A4">
        <w:rPr>
          <w:rFonts w:asciiTheme="majorBidi" w:hAnsiTheme="majorBidi" w:cstheme="majorBidi"/>
          <w:sz w:val="24"/>
          <w:szCs w:val="24"/>
          <w:lang w:bidi="ar-IQ"/>
        </w:rPr>
        <w:t xml:space="preserve">0 patients men with hypothyroidism, with age </w:t>
      </w:r>
      <w:r w:rsidR="005572BC">
        <w:rPr>
          <w:rFonts w:asciiTheme="majorBidi" w:hAnsiTheme="majorBidi" w:cstheme="majorBidi"/>
          <w:sz w:val="24"/>
          <w:szCs w:val="24"/>
          <w:lang w:bidi="ar-IQ"/>
        </w:rPr>
        <w:t xml:space="preserve">mean </w:t>
      </w:r>
      <w:r w:rsidRPr="009D01A4">
        <w:rPr>
          <w:rFonts w:asciiTheme="majorBidi" w:hAnsiTheme="majorBidi" w:cstheme="majorBidi"/>
          <w:sz w:val="24"/>
          <w:szCs w:val="24"/>
          <w:lang w:bidi="ar-IQ"/>
        </w:rPr>
        <w:t>(</w:t>
      </w:r>
      <w:r w:rsidR="008F0461">
        <w:rPr>
          <w:rFonts w:asciiTheme="majorBidi" w:hAnsiTheme="majorBidi" w:cstheme="majorBidi"/>
          <w:sz w:val="24"/>
          <w:szCs w:val="24"/>
          <w:lang w:bidi="ar-IQ"/>
        </w:rPr>
        <w:t>51.66 ± 1.64</w:t>
      </w:r>
      <w:r w:rsidRPr="009D01A4">
        <w:rPr>
          <w:rFonts w:asciiTheme="majorBidi" w:hAnsiTheme="majorBidi" w:cstheme="majorBidi"/>
          <w:sz w:val="24"/>
          <w:szCs w:val="24"/>
          <w:lang w:bidi="ar-IQ"/>
        </w:rPr>
        <w:t xml:space="preserve">) years old, </w:t>
      </w:r>
      <w:r w:rsidR="005572BC">
        <w:rPr>
          <w:rFonts w:asciiTheme="majorBidi" w:hAnsiTheme="majorBidi" w:cstheme="majorBidi"/>
          <w:sz w:val="24"/>
          <w:szCs w:val="24"/>
          <w:lang w:bidi="ar-IQ"/>
        </w:rPr>
        <w:t xml:space="preserve">the </w:t>
      </w:r>
      <w:r w:rsidRPr="009D01A4">
        <w:rPr>
          <w:rFonts w:asciiTheme="majorBidi" w:hAnsiTheme="majorBidi" w:cstheme="majorBidi"/>
          <w:sz w:val="24"/>
          <w:szCs w:val="24"/>
          <w:lang w:bidi="ar-IQ"/>
        </w:rPr>
        <w:t xml:space="preserve">BMI </w:t>
      </w:r>
      <w:r w:rsidR="005572BC">
        <w:rPr>
          <w:rFonts w:asciiTheme="majorBidi" w:hAnsiTheme="majorBidi" w:cstheme="majorBidi"/>
          <w:sz w:val="24"/>
          <w:szCs w:val="24"/>
          <w:lang w:bidi="ar-IQ"/>
        </w:rPr>
        <w:t xml:space="preserve">mean was </w:t>
      </w:r>
      <w:r w:rsidRPr="009D01A4">
        <w:rPr>
          <w:rFonts w:asciiTheme="majorBidi" w:hAnsiTheme="majorBidi" w:cstheme="majorBidi"/>
          <w:sz w:val="24"/>
          <w:szCs w:val="24"/>
          <w:lang w:bidi="ar-IQ"/>
        </w:rPr>
        <w:t>(</w:t>
      </w:r>
      <w:r w:rsidR="008F0461">
        <w:rPr>
          <w:rFonts w:asciiTheme="majorBidi" w:hAnsiTheme="majorBidi" w:cstheme="majorBidi"/>
          <w:sz w:val="24"/>
          <w:szCs w:val="24"/>
          <w:lang w:bidi="ar-IQ"/>
        </w:rPr>
        <w:t>23.59 ± 1.12</w:t>
      </w:r>
      <w:r w:rsidRPr="009D01A4">
        <w:rPr>
          <w:rFonts w:asciiTheme="majorBidi" w:hAnsiTheme="majorBidi" w:cstheme="majorBidi"/>
          <w:sz w:val="24"/>
          <w:szCs w:val="24"/>
          <w:lang w:bidi="ar-IQ"/>
        </w:rPr>
        <w:t>) kg/m2.</w:t>
      </w:r>
      <w:r w:rsidR="00F91DF9" w:rsidRPr="00F91DF9">
        <w:t xml:space="preserve"> </w:t>
      </w:r>
      <w:r w:rsidR="00F91DF9" w:rsidRPr="00F91DF9">
        <w:rPr>
          <w:rFonts w:asciiTheme="majorBidi" w:hAnsiTheme="majorBidi" w:cstheme="majorBidi"/>
          <w:sz w:val="24"/>
          <w:szCs w:val="24"/>
          <w:lang w:bidi="ar-IQ"/>
        </w:rPr>
        <w:t xml:space="preserve">There was no significant </w:t>
      </w:r>
      <w:r w:rsidR="005572BC">
        <w:rPr>
          <w:rFonts w:asciiTheme="majorBidi" w:hAnsiTheme="majorBidi" w:cstheme="majorBidi"/>
          <w:sz w:val="24"/>
          <w:szCs w:val="24"/>
          <w:lang w:bidi="ar-IQ"/>
        </w:rPr>
        <w:t>changing</w:t>
      </w:r>
      <w:r w:rsidR="00F91DF9" w:rsidRPr="00F91DF9">
        <w:rPr>
          <w:rFonts w:asciiTheme="majorBidi" w:hAnsiTheme="majorBidi" w:cstheme="majorBidi"/>
          <w:sz w:val="24"/>
          <w:szCs w:val="24"/>
          <w:lang w:bidi="ar-IQ"/>
        </w:rPr>
        <w:t xml:space="preserve"> in the smoking, exercise, diabetes, and hypertension compositio</w:t>
      </w:r>
      <w:r w:rsidR="00F91DF9">
        <w:rPr>
          <w:rFonts w:asciiTheme="majorBidi" w:hAnsiTheme="majorBidi" w:cstheme="majorBidi"/>
          <w:sz w:val="24"/>
          <w:szCs w:val="24"/>
          <w:lang w:bidi="ar-IQ"/>
        </w:rPr>
        <w:t>n ratios between the two groups</w:t>
      </w:r>
      <w:r w:rsidRPr="009D01A4">
        <w:rPr>
          <w:rFonts w:asciiTheme="majorBidi" w:hAnsiTheme="majorBidi" w:cstheme="majorBidi"/>
          <w:sz w:val="24"/>
          <w:szCs w:val="24"/>
          <w:lang w:bidi="ar-IQ"/>
        </w:rPr>
        <w:t xml:space="preserve">. The </w:t>
      </w:r>
      <w:r w:rsidR="005572BC" w:rsidRPr="009D01A4">
        <w:rPr>
          <w:rFonts w:asciiTheme="majorBidi" w:hAnsiTheme="majorBidi" w:cstheme="majorBidi"/>
          <w:sz w:val="24"/>
          <w:szCs w:val="24"/>
          <w:lang w:bidi="ar-IQ"/>
        </w:rPr>
        <w:t xml:space="preserve">criteria </w:t>
      </w:r>
      <w:r w:rsidR="005572BC">
        <w:rPr>
          <w:rFonts w:asciiTheme="majorBidi" w:hAnsiTheme="majorBidi" w:cstheme="majorBidi"/>
          <w:sz w:val="24"/>
          <w:szCs w:val="24"/>
          <w:lang w:bidi="ar-IQ"/>
        </w:rPr>
        <w:t>of</w:t>
      </w:r>
      <w:r w:rsidRPr="009D01A4">
        <w:rPr>
          <w:rFonts w:asciiTheme="majorBidi" w:hAnsiTheme="majorBidi" w:cstheme="majorBidi"/>
          <w:sz w:val="24"/>
          <w:szCs w:val="24"/>
          <w:lang w:bidi="ar-IQ"/>
        </w:rPr>
        <w:t xml:space="preserve"> hypothyroidism </w:t>
      </w:r>
      <w:r w:rsidR="005572BC">
        <w:rPr>
          <w:rFonts w:asciiTheme="majorBidi" w:hAnsiTheme="majorBidi" w:cstheme="majorBidi"/>
          <w:sz w:val="24"/>
          <w:szCs w:val="24"/>
          <w:lang w:bidi="ar-IQ"/>
        </w:rPr>
        <w:t xml:space="preserve">diagnoses which depended were </w:t>
      </w:r>
      <w:r w:rsidRPr="009D01A4">
        <w:rPr>
          <w:rFonts w:asciiTheme="majorBidi" w:hAnsiTheme="majorBidi" w:cstheme="majorBidi"/>
          <w:sz w:val="24"/>
          <w:szCs w:val="24"/>
          <w:lang w:bidi="ar-IQ"/>
        </w:rPr>
        <w:t>: TS</w:t>
      </w:r>
      <w:r>
        <w:rPr>
          <w:rFonts w:asciiTheme="majorBidi" w:hAnsiTheme="majorBidi" w:cstheme="majorBidi"/>
          <w:sz w:val="24"/>
          <w:szCs w:val="24"/>
          <w:lang w:bidi="ar-IQ"/>
        </w:rPr>
        <w:t xml:space="preserve">H </w:t>
      </w:r>
      <w:r w:rsidR="00A242D4">
        <w:rPr>
          <w:rFonts w:asciiTheme="majorBidi" w:hAnsiTheme="majorBidi" w:cstheme="majorBidi"/>
          <w:sz w:val="24"/>
          <w:szCs w:val="24"/>
          <w:lang w:bidi="ar-IQ"/>
        </w:rPr>
        <w:t>&gt;</w:t>
      </w:r>
      <w:r>
        <w:rPr>
          <w:rFonts w:asciiTheme="majorBidi" w:hAnsiTheme="majorBidi" w:cstheme="majorBidi"/>
          <w:sz w:val="24"/>
          <w:szCs w:val="24"/>
          <w:lang w:bidi="ar-IQ"/>
        </w:rPr>
        <w:t xml:space="preserve"> 4.</w:t>
      </w:r>
      <w:r w:rsidRPr="009D01A4">
        <w:rPr>
          <w:rFonts w:asciiTheme="majorBidi" w:hAnsiTheme="majorBidi" w:cstheme="majorBidi"/>
          <w:sz w:val="24"/>
          <w:szCs w:val="24"/>
          <w:lang w:bidi="ar-IQ"/>
        </w:rPr>
        <w:t>2</w:t>
      </w:r>
      <w:r>
        <w:rPr>
          <w:rFonts w:asciiTheme="majorBidi" w:hAnsiTheme="majorBidi" w:cstheme="majorBidi"/>
          <w:sz w:val="24"/>
          <w:szCs w:val="24"/>
          <w:lang w:bidi="ar-IQ"/>
        </w:rPr>
        <w:t xml:space="preserve"> </w:t>
      </w:r>
      <w:r w:rsidR="008F0461">
        <w:rPr>
          <w:rFonts w:asciiTheme="majorBidi" w:hAnsiTheme="majorBidi" w:cstheme="majorBidi"/>
          <w:sz w:val="24"/>
          <w:szCs w:val="24"/>
          <w:lang w:bidi="ar-IQ"/>
        </w:rPr>
        <w:t xml:space="preserve">mIU/L, </w:t>
      </w:r>
      <w:r w:rsidRPr="009D01A4">
        <w:rPr>
          <w:rFonts w:asciiTheme="majorBidi" w:hAnsiTheme="majorBidi" w:cstheme="majorBidi"/>
          <w:sz w:val="24"/>
          <w:szCs w:val="24"/>
          <w:lang w:bidi="ar-IQ"/>
        </w:rPr>
        <w:t xml:space="preserve">FT3 and FT4 are within the normal range. Exclusion criteria include: patients with thyroid disease after application of antithyroid drugs, levothyroxine tablets or surgical treatment, long-term </w:t>
      </w:r>
      <w:r w:rsidR="005572BC">
        <w:rPr>
          <w:rFonts w:asciiTheme="majorBidi" w:hAnsiTheme="majorBidi" w:cstheme="majorBidi"/>
          <w:sz w:val="24"/>
          <w:szCs w:val="24"/>
          <w:lang w:bidi="ar-IQ"/>
        </w:rPr>
        <w:t xml:space="preserve">of drugs utilized </w:t>
      </w:r>
      <w:r w:rsidRPr="009D01A4">
        <w:rPr>
          <w:rFonts w:asciiTheme="majorBidi" w:hAnsiTheme="majorBidi" w:cstheme="majorBidi"/>
          <w:sz w:val="24"/>
          <w:szCs w:val="24"/>
          <w:lang w:bidi="ar-IQ"/>
        </w:rPr>
        <w:t xml:space="preserve">affecting bone metabolism, liver and kidney dysfunction. The serum TSH level in the hypothyroidism group was </w:t>
      </w:r>
      <w:r w:rsidR="00A31C08">
        <w:rPr>
          <w:rFonts w:asciiTheme="majorBidi" w:hAnsiTheme="majorBidi" w:cstheme="majorBidi"/>
          <w:sz w:val="24"/>
          <w:szCs w:val="24"/>
          <w:lang w:bidi="ar-IQ"/>
        </w:rPr>
        <w:t xml:space="preserve">raised </w:t>
      </w:r>
      <w:r w:rsidR="00A31C08" w:rsidRPr="009D01A4">
        <w:rPr>
          <w:rFonts w:asciiTheme="majorBidi" w:hAnsiTheme="majorBidi" w:cstheme="majorBidi"/>
          <w:sz w:val="24"/>
          <w:szCs w:val="24"/>
          <w:lang w:bidi="ar-IQ"/>
        </w:rPr>
        <w:t>than</w:t>
      </w:r>
      <w:r w:rsidRPr="009D01A4">
        <w:rPr>
          <w:rFonts w:asciiTheme="majorBidi" w:hAnsiTheme="majorBidi" w:cstheme="majorBidi"/>
          <w:sz w:val="24"/>
          <w:szCs w:val="24"/>
          <w:lang w:bidi="ar-IQ"/>
        </w:rPr>
        <w:t xml:space="preserve"> control group, and the difference was statistically significa</w:t>
      </w:r>
      <w:r w:rsidR="00F91DF9">
        <w:rPr>
          <w:rFonts w:asciiTheme="majorBidi" w:hAnsiTheme="majorBidi" w:cstheme="majorBidi"/>
          <w:sz w:val="24"/>
          <w:szCs w:val="24"/>
          <w:lang w:bidi="ar-IQ"/>
        </w:rPr>
        <w:t xml:space="preserve">nt (P&lt;0.05). The </w:t>
      </w:r>
      <w:r w:rsidR="00A31C08">
        <w:rPr>
          <w:rFonts w:asciiTheme="majorBidi" w:hAnsiTheme="majorBidi" w:cstheme="majorBidi"/>
          <w:sz w:val="24"/>
          <w:szCs w:val="24"/>
          <w:lang w:bidi="ar-IQ"/>
        </w:rPr>
        <w:t xml:space="preserve">concentration </w:t>
      </w:r>
      <w:r w:rsidRPr="009D01A4">
        <w:rPr>
          <w:rFonts w:asciiTheme="majorBidi" w:hAnsiTheme="majorBidi" w:cstheme="majorBidi"/>
          <w:sz w:val="24"/>
          <w:szCs w:val="24"/>
          <w:lang w:bidi="ar-IQ"/>
        </w:rPr>
        <w:t xml:space="preserve"> FT3 and FT4 in the hypothyroidism group were lower than the control group (P&lt;0.05),Table 1.</w:t>
      </w:r>
    </w:p>
    <w:p w14:paraId="0CFE379B" w14:textId="77777777" w:rsidR="0084453E" w:rsidRPr="0084453E" w:rsidRDefault="0084453E" w:rsidP="00C6263D">
      <w:pPr>
        <w:bidi w:val="0"/>
        <w:spacing w:after="120"/>
        <w:jc w:val="both"/>
        <w:rPr>
          <w:rFonts w:asciiTheme="majorBidi" w:hAnsiTheme="majorBidi" w:cstheme="majorBidi"/>
          <w:b/>
          <w:bCs/>
          <w:sz w:val="24"/>
          <w:szCs w:val="24"/>
          <w:lang w:bidi="ar-IQ"/>
        </w:rPr>
      </w:pPr>
      <w:r w:rsidRPr="0084453E">
        <w:rPr>
          <w:rFonts w:asciiTheme="majorBidi" w:hAnsiTheme="majorBidi" w:cstheme="majorBidi"/>
          <w:b/>
          <w:bCs/>
          <w:sz w:val="24"/>
          <w:szCs w:val="24"/>
          <w:lang w:bidi="ar-IQ"/>
        </w:rPr>
        <w:t>1. Collection of Fasting Blood Samples</w:t>
      </w:r>
    </w:p>
    <w:p w14:paraId="0FA7F048" w14:textId="77777777" w:rsidR="0084453E" w:rsidRDefault="00A31C08" w:rsidP="00C6263D">
      <w:pPr>
        <w:bidi w:val="0"/>
        <w:spacing w:after="120"/>
        <w:jc w:val="both"/>
        <w:rPr>
          <w:rFonts w:asciiTheme="majorBidi" w:hAnsiTheme="majorBidi" w:cstheme="majorBidi"/>
          <w:sz w:val="24"/>
          <w:szCs w:val="24"/>
          <w:lang w:bidi="ar-IQ"/>
        </w:rPr>
      </w:pPr>
      <w:r>
        <w:rPr>
          <w:rFonts w:asciiTheme="majorBidi" w:hAnsiTheme="majorBidi" w:cstheme="majorBidi"/>
          <w:sz w:val="24"/>
          <w:szCs w:val="24"/>
          <w:lang w:bidi="ar-IQ"/>
        </w:rPr>
        <w:t xml:space="preserve">About </w:t>
      </w:r>
      <w:r w:rsidR="009D01A4" w:rsidRPr="009D01A4">
        <w:rPr>
          <w:rFonts w:asciiTheme="majorBidi" w:hAnsiTheme="majorBidi" w:cstheme="majorBidi"/>
          <w:sz w:val="24"/>
          <w:szCs w:val="24"/>
          <w:lang w:bidi="ar-IQ"/>
        </w:rPr>
        <w:t xml:space="preserve">5 ml of </w:t>
      </w:r>
      <w:r w:rsidR="0084453E">
        <w:rPr>
          <w:rFonts w:asciiTheme="majorBidi" w:hAnsiTheme="majorBidi" w:cstheme="majorBidi"/>
          <w:sz w:val="24"/>
          <w:szCs w:val="24"/>
          <w:lang w:bidi="ar-IQ"/>
        </w:rPr>
        <w:t xml:space="preserve">blood </w:t>
      </w:r>
      <w:r>
        <w:rPr>
          <w:rFonts w:asciiTheme="majorBidi" w:hAnsiTheme="majorBidi" w:cstheme="majorBidi"/>
          <w:sz w:val="24"/>
          <w:szCs w:val="24"/>
          <w:lang w:bidi="ar-IQ"/>
        </w:rPr>
        <w:t xml:space="preserve">was collected for </w:t>
      </w:r>
      <w:r w:rsidR="009D01A4" w:rsidRPr="009D01A4">
        <w:rPr>
          <w:rFonts w:asciiTheme="majorBidi" w:hAnsiTheme="majorBidi" w:cstheme="majorBidi"/>
          <w:sz w:val="24"/>
          <w:szCs w:val="24"/>
          <w:lang w:bidi="ar-IQ"/>
        </w:rPr>
        <w:t xml:space="preserve">serum </w:t>
      </w:r>
      <w:r>
        <w:rPr>
          <w:rFonts w:asciiTheme="majorBidi" w:hAnsiTheme="majorBidi" w:cstheme="majorBidi"/>
          <w:sz w:val="24"/>
          <w:szCs w:val="24"/>
          <w:lang w:bidi="ar-IQ"/>
        </w:rPr>
        <w:t xml:space="preserve">separated, then it </w:t>
      </w:r>
      <w:r w:rsidR="009D01A4" w:rsidRPr="009D01A4">
        <w:rPr>
          <w:rFonts w:asciiTheme="majorBidi" w:hAnsiTheme="majorBidi" w:cstheme="majorBidi"/>
          <w:sz w:val="24"/>
          <w:szCs w:val="24"/>
          <w:lang w:bidi="ar-IQ"/>
        </w:rPr>
        <w:t>stored at -20°C for later use. A biochem</w:t>
      </w:r>
      <w:r w:rsidR="00AC73D6">
        <w:rPr>
          <w:rFonts w:asciiTheme="majorBidi" w:hAnsiTheme="majorBidi" w:cstheme="majorBidi"/>
          <w:sz w:val="24"/>
          <w:szCs w:val="24"/>
          <w:lang w:bidi="ar-IQ"/>
        </w:rPr>
        <w:t>ical analyzer was used to reveal</w:t>
      </w:r>
      <w:r w:rsidR="009D01A4" w:rsidRPr="009D01A4">
        <w:rPr>
          <w:rFonts w:asciiTheme="majorBidi" w:hAnsiTheme="majorBidi" w:cstheme="majorBidi"/>
          <w:sz w:val="24"/>
          <w:szCs w:val="24"/>
          <w:lang w:bidi="ar-IQ"/>
        </w:rPr>
        <w:t xml:space="preserve"> the </w:t>
      </w:r>
      <w:r w:rsidR="00792228">
        <w:rPr>
          <w:rFonts w:asciiTheme="majorBidi" w:hAnsiTheme="majorBidi" w:cstheme="majorBidi"/>
          <w:sz w:val="24"/>
          <w:szCs w:val="24"/>
          <w:lang w:bidi="ar-IQ"/>
        </w:rPr>
        <w:t xml:space="preserve">serum </w:t>
      </w:r>
      <w:r w:rsidR="009D01A4" w:rsidRPr="009D01A4">
        <w:rPr>
          <w:rFonts w:asciiTheme="majorBidi" w:hAnsiTheme="majorBidi" w:cstheme="majorBidi"/>
          <w:sz w:val="24"/>
          <w:szCs w:val="24"/>
          <w:lang w:bidi="ar-IQ"/>
        </w:rPr>
        <w:t>leve</w:t>
      </w:r>
      <w:r w:rsidR="00792228">
        <w:rPr>
          <w:rFonts w:asciiTheme="majorBidi" w:hAnsiTheme="majorBidi" w:cstheme="majorBidi"/>
          <w:sz w:val="24"/>
          <w:szCs w:val="24"/>
          <w:lang w:bidi="ar-IQ"/>
        </w:rPr>
        <w:t xml:space="preserve">ls of FT4, </w:t>
      </w:r>
      <w:r>
        <w:rPr>
          <w:rFonts w:asciiTheme="majorBidi" w:hAnsiTheme="majorBidi" w:cstheme="majorBidi"/>
          <w:sz w:val="24"/>
          <w:szCs w:val="24"/>
          <w:lang w:bidi="ar-IQ"/>
        </w:rPr>
        <w:t>FT3</w:t>
      </w:r>
      <w:r w:rsidR="00792228">
        <w:rPr>
          <w:rFonts w:asciiTheme="majorBidi" w:hAnsiTheme="majorBidi" w:cstheme="majorBidi"/>
          <w:sz w:val="24"/>
          <w:szCs w:val="24"/>
          <w:lang w:bidi="ar-IQ"/>
        </w:rPr>
        <w:t>and TSH</w:t>
      </w:r>
      <w:r w:rsidR="009D01A4" w:rsidRPr="009D01A4">
        <w:rPr>
          <w:rFonts w:asciiTheme="majorBidi" w:hAnsiTheme="majorBidi" w:cstheme="majorBidi"/>
          <w:sz w:val="24"/>
          <w:szCs w:val="24"/>
          <w:lang w:bidi="ar-IQ"/>
        </w:rPr>
        <w:t>.</w:t>
      </w:r>
    </w:p>
    <w:p w14:paraId="38B9ABC2" w14:textId="77777777" w:rsidR="0084453E" w:rsidRDefault="0084453E"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Table (1).</w:t>
      </w:r>
      <w:r w:rsidR="008F0461" w:rsidRPr="008F0461">
        <w:t xml:space="preserve"> </w:t>
      </w:r>
      <w:r w:rsidR="008F0461">
        <w:rPr>
          <w:rFonts w:asciiTheme="majorBidi" w:hAnsiTheme="majorBidi" w:cstheme="majorBidi"/>
          <w:sz w:val="24"/>
          <w:szCs w:val="24"/>
          <w:lang w:bidi="ar-IQ"/>
        </w:rPr>
        <w:t xml:space="preserve"> </w:t>
      </w:r>
      <w:r w:rsidR="008F0461" w:rsidRPr="008F0461">
        <w:rPr>
          <w:rFonts w:asciiTheme="majorBidi" w:hAnsiTheme="majorBidi" w:cstheme="majorBidi"/>
          <w:sz w:val="24"/>
          <w:szCs w:val="24"/>
          <w:lang w:bidi="ar-IQ"/>
        </w:rPr>
        <w:t xml:space="preserve">Basic data of </w:t>
      </w:r>
      <w:r w:rsidR="008F0461">
        <w:rPr>
          <w:rFonts w:asciiTheme="majorBidi" w:hAnsiTheme="majorBidi" w:cstheme="majorBidi"/>
          <w:sz w:val="24"/>
          <w:szCs w:val="24"/>
          <w:lang w:bidi="ar-IQ"/>
        </w:rPr>
        <w:t xml:space="preserve">control and </w:t>
      </w:r>
      <w:r w:rsidR="008F0461" w:rsidRPr="008F0461">
        <w:rPr>
          <w:rFonts w:asciiTheme="majorBidi" w:hAnsiTheme="majorBidi" w:cstheme="majorBidi"/>
          <w:sz w:val="24"/>
          <w:szCs w:val="24"/>
          <w:lang w:bidi="ar-IQ"/>
        </w:rPr>
        <w:t xml:space="preserve">hypothyroidism </w:t>
      </w:r>
      <w:r w:rsidR="008F0461">
        <w:rPr>
          <w:rFonts w:asciiTheme="majorBidi" w:hAnsiTheme="majorBidi" w:cstheme="majorBidi"/>
          <w:sz w:val="24"/>
          <w:szCs w:val="24"/>
          <w:lang w:bidi="ar-IQ"/>
        </w:rPr>
        <w:t xml:space="preserve">men groups. </w:t>
      </w:r>
    </w:p>
    <w:tbl>
      <w:tblPr>
        <w:tblStyle w:val="TableGrid"/>
        <w:tblW w:w="0" w:type="auto"/>
        <w:jc w:val="center"/>
        <w:tblLook w:val="04A0" w:firstRow="1" w:lastRow="0" w:firstColumn="1" w:lastColumn="0" w:noHBand="0" w:noVBand="1"/>
      </w:tblPr>
      <w:tblGrid>
        <w:gridCol w:w="2347"/>
        <w:gridCol w:w="1885"/>
        <w:gridCol w:w="2992"/>
        <w:gridCol w:w="1072"/>
      </w:tblGrid>
      <w:tr w:rsidR="00354E84" w14:paraId="3C38869E" w14:textId="77777777" w:rsidTr="008F0461">
        <w:trPr>
          <w:jc w:val="center"/>
        </w:trPr>
        <w:tc>
          <w:tcPr>
            <w:tcW w:w="2434" w:type="dxa"/>
          </w:tcPr>
          <w:p w14:paraId="45FF14C2" w14:textId="77777777" w:rsidR="00354E84" w:rsidRPr="00354E84" w:rsidRDefault="00354E84" w:rsidP="00C6263D">
            <w:pPr>
              <w:bidi w:val="0"/>
              <w:jc w:val="both"/>
              <w:rPr>
                <w:rFonts w:asciiTheme="majorBidi" w:hAnsiTheme="majorBidi" w:cstheme="majorBidi"/>
                <w:b/>
                <w:bCs/>
                <w:sz w:val="24"/>
                <w:szCs w:val="24"/>
                <w:lang w:bidi="ar-IQ"/>
              </w:rPr>
            </w:pPr>
            <w:r w:rsidRPr="00354E84">
              <w:rPr>
                <w:rFonts w:asciiTheme="majorBidi" w:hAnsiTheme="majorBidi" w:cstheme="majorBidi"/>
                <w:b/>
                <w:bCs/>
                <w:sz w:val="24"/>
                <w:szCs w:val="24"/>
                <w:lang w:bidi="ar-IQ"/>
              </w:rPr>
              <w:t>Basic Information</w:t>
            </w:r>
          </w:p>
        </w:tc>
        <w:tc>
          <w:tcPr>
            <w:tcW w:w="1985" w:type="dxa"/>
          </w:tcPr>
          <w:p w14:paraId="65CC23CD" w14:textId="77777777" w:rsidR="00354E84" w:rsidRDefault="00354E84" w:rsidP="00C6263D">
            <w:pPr>
              <w:bidi w:val="0"/>
              <w:jc w:val="both"/>
              <w:rPr>
                <w:rFonts w:asciiTheme="majorBidi" w:hAnsiTheme="majorBidi" w:cstheme="majorBidi"/>
                <w:b/>
                <w:bCs/>
                <w:sz w:val="24"/>
                <w:szCs w:val="24"/>
                <w:lang w:bidi="ar-IQ"/>
              </w:rPr>
            </w:pPr>
            <w:r w:rsidRPr="00354E84">
              <w:rPr>
                <w:rFonts w:asciiTheme="majorBidi" w:hAnsiTheme="majorBidi" w:cstheme="majorBidi"/>
                <w:b/>
                <w:bCs/>
                <w:sz w:val="24"/>
                <w:szCs w:val="24"/>
                <w:lang w:bidi="ar-IQ"/>
              </w:rPr>
              <w:t>Control group</w:t>
            </w:r>
          </w:p>
          <w:p w14:paraId="63865AB1" w14:textId="77777777" w:rsidR="00354E84" w:rsidRPr="00354E84" w:rsidRDefault="00FF64C7" w:rsidP="00C6263D">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n</w:t>
            </w:r>
            <w:r w:rsidR="00354E84">
              <w:rPr>
                <w:rFonts w:asciiTheme="majorBidi" w:hAnsiTheme="majorBidi" w:cstheme="majorBidi"/>
                <w:b/>
                <w:bCs/>
                <w:sz w:val="24"/>
                <w:szCs w:val="24"/>
                <w:lang w:bidi="ar-IQ"/>
              </w:rPr>
              <w:t xml:space="preserve"> = 120</w:t>
            </w:r>
          </w:p>
        </w:tc>
        <w:tc>
          <w:tcPr>
            <w:tcW w:w="3118" w:type="dxa"/>
          </w:tcPr>
          <w:p w14:paraId="345235BB" w14:textId="77777777" w:rsidR="00354E84" w:rsidRDefault="00354E84" w:rsidP="00C6263D">
            <w:pPr>
              <w:bidi w:val="0"/>
              <w:jc w:val="both"/>
              <w:rPr>
                <w:rFonts w:asciiTheme="majorBidi" w:hAnsiTheme="majorBidi" w:cstheme="majorBidi"/>
                <w:b/>
                <w:bCs/>
                <w:sz w:val="24"/>
                <w:szCs w:val="24"/>
                <w:lang w:bidi="ar-IQ"/>
              </w:rPr>
            </w:pPr>
            <w:r w:rsidRPr="00354E84">
              <w:rPr>
                <w:rFonts w:asciiTheme="majorBidi" w:hAnsiTheme="majorBidi" w:cstheme="majorBidi"/>
                <w:b/>
                <w:bCs/>
                <w:sz w:val="24"/>
                <w:szCs w:val="24"/>
                <w:lang w:bidi="ar-IQ"/>
              </w:rPr>
              <w:t xml:space="preserve">Hypothyroidism </w:t>
            </w:r>
            <w:r w:rsidR="008F0461">
              <w:rPr>
                <w:rFonts w:asciiTheme="majorBidi" w:hAnsiTheme="majorBidi" w:cstheme="majorBidi"/>
                <w:b/>
                <w:bCs/>
                <w:sz w:val="24"/>
                <w:szCs w:val="24"/>
                <w:lang w:bidi="ar-IQ"/>
              </w:rPr>
              <w:t xml:space="preserve">men </w:t>
            </w:r>
            <w:r w:rsidRPr="00354E84">
              <w:rPr>
                <w:rFonts w:asciiTheme="majorBidi" w:hAnsiTheme="majorBidi" w:cstheme="majorBidi"/>
                <w:b/>
                <w:bCs/>
                <w:sz w:val="24"/>
                <w:szCs w:val="24"/>
                <w:lang w:bidi="ar-IQ"/>
              </w:rPr>
              <w:t>group</w:t>
            </w:r>
          </w:p>
          <w:p w14:paraId="50E42352" w14:textId="77777777" w:rsidR="00354E84" w:rsidRPr="00354E84" w:rsidRDefault="00FF64C7" w:rsidP="00C6263D">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n </w:t>
            </w:r>
            <w:r w:rsidR="00354E84">
              <w:rPr>
                <w:rFonts w:asciiTheme="majorBidi" w:hAnsiTheme="majorBidi" w:cstheme="majorBidi"/>
                <w:b/>
                <w:bCs/>
                <w:sz w:val="24"/>
                <w:szCs w:val="24"/>
                <w:lang w:bidi="ar-IQ"/>
              </w:rPr>
              <w:t>=</w:t>
            </w:r>
            <w:r>
              <w:rPr>
                <w:rFonts w:asciiTheme="majorBidi" w:hAnsiTheme="majorBidi" w:cstheme="majorBidi"/>
                <w:b/>
                <w:bCs/>
                <w:sz w:val="24"/>
                <w:szCs w:val="24"/>
                <w:lang w:bidi="ar-IQ"/>
              </w:rPr>
              <w:t xml:space="preserve"> </w:t>
            </w:r>
            <w:r w:rsidR="00082CDE">
              <w:rPr>
                <w:rFonts w:asciiTheme="majorBidi" w:hAnsiTheme="majorBidi" w:cstheme="majorBidi"/>
                <w:b/>
                <w:bCs/>
                <w:sz w:val="24"/>
                <w:szCs w:val="24"/>
                <w:lang w:bidi="ar-IQ"/>
              </w:rPr>
              <w:t>90</w:t>
            </w:r>
          </w:p>
        </w:tc>
        <w:tc>
          <w:tcPr>
            <w:tcW w:w="1101" w:type="dxa"/>
          </w:tcPr>
          <w:p w14:paraId="5B2BD934" w14:textId="77777777" w:rsidR="00354E84" w:rsidRPr="00354E84" w:rsidRDefault="00354E84" w:rsidP="00C6263D">
            <w:pPr>
              <w:bidi w:val="0"/>
              <w:jc w:val="both"/>
              <w:rPr>
                <w:rFonts w:asciiTheme="majorBidi" w:hAnsiTheme="majorBidi" w:cstheme="majorBidi"/>
                <w:b/>
                <w:bCs/>
                <w:sz w:val="24"/>
                <w:szCs w:val="24"/>
                <w:lang w:bidi="ar-IQ"/>
              </w:rPr>
            </w:pPr>
            <w:r w:rsidRPr="00354E84">
              <w:rPr>
                <w:rFonts w:asciiTheme="majorBidi" w:hAnsiTheme="majorBidi" w:cstheme="majorBidi"/>
                <w:b/>
                <w:bCs/>
                <w:sz w:val="24"/>
                <w:szCs w:val="24"/>
                <w:lang w:bidi="ar-IQ"/>
              </w:rPr>
              <w:t>P Value</w:t>
            </w:r>
          </w:p>
        </w:tc>
      </w:tr>
      <w:tr w:rsidR="00354E84" w14:paraId="73D8EF1B" w14:textId="77777777" w:rsidTr="008F0461">
        <w:trPr>
          <w:jc w:val="center"/>
        </w:trPr>
        <w:tc>
          <w:tcPr>
            <w:tcW w:w="2434" w:type="dxa"/>
          </w:tcPr>
          <w:p w14:paraId="5F91365C" w14:textId="77777777" w:rsidR="00354E84" w:rsidRPr="00082CDE" w:rsidRDefault="00354E84"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Age (Year)</w:t>
            </w:r>
          </w:p>
        </w:tc>
        <w:tc>
          <w:tcPr>
            <w:tcW w:w="1985" w:type="dxa"/>
          </w:tcPr>
          <w:p w14:paraId="60DF54E4" w14:textId="77777777" w:rsidR="00354E84" w:rsidRDefault="00354E84"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52.97 ± 1.55</w:t>
            </w:r>
          </w:p>
        </w:tc>
        <w:tc>
          <w:tcPr>
            <w:tcW w:w="3118" w:type="dxa"/>
          </w:tcPr>
          <w:p w14:paraId="72C89720" w14:textId="77777777" w:rsidR="00354E84" w:rsidRDefault="00354E84"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51.66 ± 1.64</w:t>
            </w:r>
          </w:p>
        </w:tc>
        <w:tc>
          <w:tcPr>
            <w:tcW w:w="1101" w:type="dxa"/>
          </w:tcPr>
          <w:p w14:paraId="145AA0D6" w14:textId="77777777" w:rsidR="00354E84" w:rsidRDefault="00354E84"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0.22</w:t>
            </w:r>
          </w:p>
        </w:tc>
      </w:tr>
      <w:tr w:rsidR="00354E84" w14:paraId="44E069E7" w14:textId="77777777" w:rsidTr="008F0461">
        <w:trPr>
          <w:jc w:val="center"/>
        </w:trPr>
        <w:tc>
          <w:tcPr>
            <w:tcW w:w="2434" w:type="dxa"/>
          </w:tcPr>
          <w:p w14:paraId="6459D5F1" w14:textId="77777777" w:rsidR="00354E84" w:rsidRPr="00082CDE" w:rsidRDefault="00354E84"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BMI (kg/m</w:t>
            </w:r>
            <w:r w:rsidRPr="00082CDE">
              <w:rPr>
                <w:rFonts w:asciiTheme="majorBidi" w:hAnsiTheme="majorBidi" w:cstheme="majorBidi"/>
                <w:b/>
                <w:bCs/>
                <w:sz w:val="24"/>
                <w:szCs w:val="24"/>
                <w:vertAlign w:val="superscript"/>
                <w:lang w:bidi="ar-IQ"/>
              </w:rPr>
              <w:t>2</w:t>
            </w:r>
            <w:r w:rsidRPr="00082CDE">
              <w:rPr>
                <w:rFonts w:asciiTheme="majorBidi" w:hAnsiTheme="majorBidi" w:cstheme="majorBidi"/>
                <w:b/>
                <w:bCs/>
                <w:sz w:val="24"/>
                <w:szCs w:val="24"/>
                <w:lang w:bidi="ar-IQ"/>
              </w:rPr>
              <w:t>)</w:t>
            </w:r>
          </w:p>
        </w:tc>
        <w:tc>
          <w:tcPr>
            <w:tcW w:w="1985" w:type="dxa"/>
          </w:tcPr>
          <w:p w14:paraId="6571778F"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23.50 ± 1.05</w:t>
            </w:r>
          </w:p>
        </w:tc>
        <w:tc>
          <w:tcPr>
            <w:tcW w:w="3118" w:type="dxa"/>
          </w:tcPr>
          <w:p w14:paraId="4D049033"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23.59 ± 1.12</w:t>
            </w:r>
          </w:p>
        </w:tc>
        <w:tc>
          <w:tcPr>
            <w:tcW w:w="1101" w:type="dxa"/>
          </w:tcPr>
          <w:p w14:paraId="431CD9E8"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0.29</w:t>
            </w:r>
          </w:p>
        </w:tc>
      </w:tr>
      <w:tr w:rsidR="00354E84" w14:paraId="272DFAFF" w14:textId="77777777" w:rsidTr="008F0461">
        <w:trPr>
          <w:jc w:val="center"/>
        </w:trPr>
        <w:tc>
          <w:tcPr>
            <w:tcW w:w="2434" w:type="dxa"/>
          </w:tcPr>
          <w:p w14:paraId="704BADD7" w14:textId="77777777" w:rsidR="00354E84" w:rsidRPr="00082CDE" w:rsidRDefault="004C02C6"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Smoking n/%</w:t>
            </w:r>
          </w:p>
        </w:tc>
        <w:tc>
          <w:tcPr>
            <w:tcW w:w="1985" w:type="dxa"/>
          </w:tcPr>
          <w:p w14:paraId="2258F2AA"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43/ </w:t>
            </w:r>
            <w:r w:rsidR="00082CDE">
              <w:rPr>
                <w:rFonts w:asciiTheme="majorBidi" w:hAnsiTheme="majorBidi" w:cstheme="majorBidi"/>
                <w:sz w:val="24"/>
                <w:szCs w:val="24"/>
                <w:lang w:bidi="ar-IQ"/>
              </w:rPr>
              <w:t>35.9</w:t>
            </w:r>
          </w:p>
        </w:tc>
        <w:tc>
          <w:tcPr>
            <w:tcW w:w="3118" w:type="dxa"/>
          </w:tcPr>
          <w:p w14:paraId="49622A6A"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41/</w:t>
            </w:r>
            <w:r w:rsidR="00082CDE">
              <w:rPr>
                <w:rFonts w:asciiTheme="majorBidi" w:hAnsiTheme="majorBidi" w:cstheme="majorBidi"/>
                <w:sz w:val="24"/>
                <w:szCs w:val="24"/>
                <w:lang w:bidi="ar-IQ"/>
              </w:rPr>
              <w:t>45.5</w:t>
            </w:r>
          </w:p>
        </w:tc>
        <w:tc>
          <w:tcPr>
            <w:tcW w:w="1101" w:type="dxa"/>
          </w:tcPr>
          <w:p w14:paraId="5602095C"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0.23</w:t>
            </w:r>
          </w:p>
        </w:tc>
      </w:tr>
      <w:tr w:rsidR="00354E84" w14:paraId="6DD485A4" w14:textId="77777777" w:rsidTr="008F0461">
        <w:trPr>
          <w:jc w:val="center"/>
        </w:trPr>
        <w:tc>
          <w:tcPr>
            <w:tcW w:w="2434" w:type="dxa"/>
          </w:tcPr>
          <w:p w14:paraId="2A02C3AF" w14:textId="77777777" w:rsidR="00354E84" w:rsidRPr="00082CDE" w:rsidRDefault="004C02C6"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Exercise n/%</w:t>
            </w:r>
          </w:p>
        </w:tc>
        <w:tc>
          <w:tcPr>
            <w:tcW w:w="1985" w:type="dxa"/>
          </w:tcPr>
          <w:p w14:paraId="4719C925"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32/</w:t>
            </w:r>
            <w:r w:rsidR="00082CDE">
              <w:rPr>
                <w:rFonts w:asciiTheme="majorBidi" w:hAnsiTheme="majorBidi" w:cstheme="majorBidi"/>
                <w:sz w:val="24"/>
                <w:szCs w:val="24"/>
                <w:lang w:bidi="ar-IQ"/>
              </w:rPr>
              <w:t>26.6</w:t>
            </w:r>
          </w:p>
        </w:tc>
        <w:tc>
          <w:tcPr>
            <w:tcW w:w="3118" w:type="dxa"/>
          </w:tcPr>
          <w:p w14:paraId="43466F9A"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30/</w:t>
            </w:r>
            <w:r w:rsidR="00082CDE">
              <w:rPr>
                <w:rFonts w:asciiTheme="majorBidi" w:hAnsiTheme="majorBidi" w:cstheme="majorBidi"/>
                <w:sz w:val="24"/>
                <w:szCs w:val="24"/>
                <w:lang w:bidi="ar-IQ"/>
              </w:rPr>
              <w:t>33.3</w:t>
            </w:r>
          </w:p>
        </w:tc>
        <w:tc>
          <w:tcPr>
            <w:tcW w:w="1101" w:type="dxa"/>
          </w:tcPr>
          <w:p w14:paraId="003434A6"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0.25</w:t>
            </w:r>
          </w:p>
        </w:tc>
      </w:tr>
      <w:tr w:rsidR="00354E84" w14:paraId="13648A10" w14:textId="77777777" w:rsidTr="008F0461">
        <w:trPr>
          <w:jc w:val="center"/>
        </w:trPr>
        <w:tc>
          <w:tcPr>
            <w:tcW w:w="2434" w:type="dxa"/>
          </w:tcPr>
          <w:p w14:paraId="0D17CD68" w14:textId="77777777" w:rsidR="00354E84" w:rsidRPr="00082CDE" w:rsidRDefault="004C02C6"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Diabetes n/%</w:t>
            </w:r>
          </w:p>
        </w:tc>
        <w:tc>
          <w:tcPr>
            <w:tcW w:w="1985" w:type="dxa"/>
          </w:tcPr>
          <w:p w14:paraId="652FD523"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20/</w:t>
            </w:r>
            <w:r w:rsidR="00082CDE">
              <w:rPr>
                <w:rFonts w:asciiTheme="majorBidi" w:hAnsiTheme="majorBidi" w:cstheme="majorBidi"/>
                <w:sz w:val="24"/>
                <w:szCs w:val="24"/>
                <w:lang w:bidi="ar-IQ"/>
              </w:rPr>
              <w:t>16.6</w:t>
            </w:r>
          </w:p>
        </w:tc>
        <w:tc>
          <w:tcPr>
            <w:tcW w:w="3118" w:type="dxa"/>
          </w:tcPr>
          <w:p w14:paraId="77108F0E"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26/</w:t>
            </w:r>
            <w:r w:rsidR="00082CDE">
              <w:rPr>
                <w:rFonts w:asciiTheme="majorBidi" w:hAnsiTheme="majorBidi" w:cstheme="majorBidi"/>
                <w:sz w:val="24"/>
                <w:szCs w:val="24"/>
                <w:lang w:bidi="ar-IQ"/>
              </w:rPr>
              <w:t>28.9</w:t>
            </w:r>
          </w:p>
        </w:tc>
        <w:tc>
          <w:tcPr>
            <w:tcW w:w="1101" w:type="dxa"/>
          </w:tcPr>
          <w:p w14:paraId="514D0924"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0.70</w:t>
            </w:r>
          </w:p>
        </w:tc>
      </w:tr>
      <w:tr w:rsidR="00354E84" w14:paraId="27C617E5" w14:textId="77777777" w:rsidTr="008F0461">
        <w:trPr>
          <w:jc w:val="center"/>
        </w:trPr>
        <w:tc>
          <w:tcPr>
            <w:tcW w:w="2434" w:type="dxa"/>
          </w:tcPr>
          <w:p w14:paraId="13115571" w14:textId="77777777" w:rsidR="00354E84" w:rsidRPr="00082CDE" w:rsidRDefault="004C02C6"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Hypertension n/%</w:t>
            </w:r>
          </w:p>
        </w:tc>
        <w:tc>
          <w:tcPr>
            <w:tcW w:w="1985" w:type="dxa"/>
          </w:tcPr>
          <w:p w14:paraId="1B078A6C"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55/</w:t>
            </w:r>
            <w:r w:rsidR="00082CDE">
              <w:rPr>
                <w:rFonts w:asciiTheme="majorBidi" w:hAnsiTheme="majorBidi" w:cstheme="majorBidi"/>
                <w:sz w:val="24"/>
                <w:szCs w:val="24"/>
                <w:lang w:bidi="ar-IQ"/>
              </w:rPr>
              <w:t>45.9</w:t>
            </w:r>
          </w:p>
        </w:tc>
        <w:tc>
          <w:tcPr>
            <w:tcW w:w="3118" w:type="dxa"/>
          </w:tcPr>
          <w:p w14:paraId="0B5617D2"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74/</w:t>
            </w:r>
            <w:r w:rsidR="00082CDE">
              <w:rPr>
                <w:rFonts w:asciiTheme="majorBidi" w:hAnsiTheme="majorBidi" w:cstheme="majorBidi"/>
                <w:sz w:val="24"/>
                <w:szCs w:val="24"/>
                <w:lang w:bidi="ar-IQ"/>
              </w:rPr>
              <w:t>82.2</w:t>
            </w:r>
          </w:p>
        </w:tc>
        <w:tc>
          <w:tcPr>
            <w:tcW w:w="1101" w:type="dxa"/>
          </w:tcPr>
          <w:p w14:paraId="00DC8AD1" w14:textId="77777777" w:rsidR="00354E84" w:rsidRDefault="00082CDE"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0.63</w:t>
            </w:r>
          </w:p>
        </w:tc>
      </w:tr>
      <w:tr w:rsidR="00354E84" w14:paraId="0A7545CD" w14:textId="77777777" w:rsidTr="008F0461">
        <w:trPr>
          <w:jc w:val="center"/>
        </w:trPr>
        <w:tc>
          <w:tcPr>
            <w:tcW w:w="2434" w:type="dxa"/>
          </w:tcPr>
          <w:p w14:paraId="758F66DC" w14:textId="77777777" w:rsidR="00354E84" w:rsidRPr="00082CDE" w:rsidRDefault="004C02C6" w:rsidP="00C6263D">
            <w:pPr>
              <w:bidi w:val="0"/>
              <w:jc w:val="both"/>
              <w:rPr>
                <w:rFonts w:asciiTheme="majorBidi" w:hAnsiTheme="majorBidi" w:cstheme="majorBidi"/>
                <w:b/>
                <w:bCs/>
                <w:sz w:val="24"/>
                <w:szCs w:val="24"/>
                <w:vertAlign w:val="superscript"/>
                <w:lang w:bidi="ar-IQ"/>
              </w:rPr>
            </w:pPr>
            <w:r w:rsidRPr="00082CDE">
              <w:rPr>
                <w:rFonts w:asciiTheme="majorBidi" w:hAnsiTheme="majorBidi" w:cstheme="majorBidi"/>
                <w:b/>
                <w:bCs/>
                <w:sz w:val="24"/>
                <w:szCs w:val="24"/>
                <w:lang w:bidi="ar-IQ"/>
              </w:rPr>
              <w:t>FT3 pmol. L</w:t>
            </w:r>
            <w:r w:rsidRPr="00082CDE">
              <w:rPr>
                <w:rFonts w:asciiTheme="majorBidi" w:hAnsiTheme="majorBidi" w:cstheme="majorBidi"/>
                <w:b/>
                <w:bCs/>
                <w:sz w:val="24"/>
                <w:szCs w:val="24"/>
                <w:vertAlign w:val="superscript"/>
                <w:lang w:bidi="ar-IQ"/>
              </w:rPr>
              <w:t>-1</w:t>
            </w:r>
          </w:p>
        </w:tc>
        <w:tc>
          <w:tcPr>
            <w:tcW w:w="1985" w:type="dxa"/>
          </w:tcPr>
          <w:p w14:paraId="1969F3E2"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4.82 ± 0.08</w:t>
            </w:r>
          </w:p>
        </w:tc>
        <w:tc>
          <w:tcPr>
            <w:tcW w:w="3118" w:type="dxa"/>
          </w:tcPr>
          <w:p w14:paraId="10BDDAD4"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4.20 ± 0.06</w:t>
            </w:r>
          </w:p>
        </w:tc>
        <w:tc>
          <w:tcPr>
            <w:tcW w:w="1101" w:type="dxa"/>
          </w:tcPr>
          <w:p w14:paraId="5E80B38E"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0.04*</w:t>
            </w:r>
          </w:p>
        </w:tc>
      </w:tr>
      <w:tr w:rsidR="00354E84" w14:paraId="192EE13E" w14:textId="77777777" w:rsidTr="008F0461">
        <w:trPr>
          <w:jc w:val="center"/>
        </w:trPr>
        <w:tc>
          <w:tcPr>
            <w:tcW w:w="2434" w:type="dxa"/>
          </w:tcPr>
          <w:p w14:paraId="50037C93" w14:textId="77777777" w:rsidR="00354E84" w:rsidRPr="00082CDE" w:rsidRDefault="004C02C6"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FT4 pmol. L</w:t>
            </w:r>
            <w:r w:rsidRPr="00082CDE">
              <w:rPr>
                <w:rFonts w:asciiTheme="majorBidi" w:hAnsiTheme="majorBidi" w:cstheme="majorBidi"/>
                <w:b/>
                <w:bCs/>
                <w:sz w:val="24"/>
                <w:szCs w:val="24"/>
                <w:vertAlign w:val="superscript"/>
                <w:lang w:bidi="ar-IQ"/>
              </w:rPr>
              <w:t>-1</w:t>
            </w:r>
          </w:p>
        </w:tc>
        <w:tc>
          <w:tcPr>
            <w:tcW w:w="1985" w:type="dxa"/>
          </w:tcPr>
          <w:p w14:paraId="30CEE899"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15.20 ± 0.05</w:t>
            </w:r>
          </w:p>
        </w:tc>
        <w:tc>
          <w:tcPr>
            <w:tcW w:w="3118" w:type="dxa"/>
          </w:tcPr>
          <w:p w14:paraId="0CBDFD38"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13.54 ± 0.48</w:t>
            </w:r>
          </w:p>
        </w:tc>
        <w:tc>
          <w:tcPr>
            <w:tcW w:w="1101" w:type="dxa"/>
          </w:tcPr>
          <w:p w14:paraId="6FA7F354"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0.04*</w:t>
            </w:r>
          </w:p>
        </w:tc>
      </w:tr>
      <w:tr w:rsidR="00354E84" w14:paraId="5BAD2F8F" w14:textId="77777777" w:rsidTr="008F0461">
        <w:trPr>
          <w:jc w:val="center"/>
        </w:trPr>
        <w:tc>
          <w:tcPr>
            <w:tcW w:w="2434" w:type="dxa"/>
          </w:tcPr>
          <w:p w14:paraId="3683C797" w14:textId="77777777" w:rsidR="00354E84" w:rsidRPr="00082CDE" w:rsidRDefault="004C02C6" w:rsidP="00C6263D">
            <w:pPr>
              <w:bidi w:val="0"/>
              <w:jc w:val="both"/>
              <w:rPr>
                <w:rFonts w:asciiTheme="majorBidi" w:hAnsiTheme="majorBidi" w:cstheme="majorBidi"/>
                <w:b/>
                <w:bCs/>
                <w:sz w:val="24"/>
                <w:szCs w:val="24"/>
                <w:lang w:bidi="ar-IQ"/>
              </w:rPr>
            </w:pPr>
            <w:r w:rsidRPr="00082CDE">
              <w:rPr>
                <w:rFonts w:asciiTheme="majorBidi" w:hAnsiTheme="majorBidi" w:cstheme="majorBidi"/>
                <w:b/>
                <w:bCs/>
                <w:sz w:val="24"/>
                <w:szCs w:val="24"/>
                <w:lang w:bidi="ar-IQ"/>
              </w:rPr>
              <w:t>TSH pmol. L</w:t>
            </w:r>
            <w:r w:rsidRPr="00082CDE">
              <w:rPr>
                <w:rFonts w:asciiTheme="majorBidi" w:hAnsiTheme="majorBidi" w:cstheme="majorBidi"/>
                <w:b/>
                <w:bCs/>
                <w:sz w:val="24"/>
                <w:szCs w:val="24"/>
                <w:vertAlign w:val="superscript"/>
                <w:lang w:bidi="ar-IQ"/>
              </w:rPr>
              <w:t>-1</w:t>
            </w:r>
          </w:p>
        </w:tc>
        <w:tc>
          <w:tcPr>
            <w:tcW w:w="1985" w:type="dxa"/>
          </w:tcPr>
          <w:p w14:paraId="788CAAF1"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2.34 ± 0.45</w:t>
            </w:r>
          </w:p>
        </w:tc>
        <w:tc>
          <w:tcPr>
            <w:tcW w:w="3118" w:type="dxa"/>
          </w:tcPr>
          <w:p w14:paraId="4786DD81"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5.14 ± 1.23</w:t>
            </w:r>
          </w:p>
        </w:tc>
        <w:tc>
          <w:tcPr>
            <w:tcW w:w="1101" w:type="dxa"/>
          </w:tcPr>
          <w:p w14:paraId="1BEC84BE" w14:textId="77777777" w:rsidR="00354E84" w:rsidRDefault="004C02C6"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0.01*</w:t>
            </w:r>
          </w:p>
        </w:tc>
      </w:tr>
    </w:tbl>
    <w:p w14:paraId="1E06662E" w14:textId="77777777" w:rsidR="0084453E" w:rsidRPr="00082CDE" w:rsidRDefault="00082CDE" w:rsidP="00C6263D">
      <w:pPr>
        <w:bidi w:val="0"/>
        <w:jc w:val="both"/>
        <w:rPr>
          <w:rFonts w:asciiTheme="majorBidi" w:hAnsiTheme="majorBidi" w:cstheme="majorBidi"/>
          <w:b/>
          <w:bCs/>
          <w:sz w:val="20"/>
          <w:szCs w:val="20"/>
          <w:lang w:bidi="ar-IQ"/>
        </w:rPr>
      </w:pPr>
      <w:r w:rsidRPr="00082CDE">
        <w:rPr>
          <w:rFonts w:asciiTheme="majorBidi" w:hAnsiTheme="majorBidi" w:cstheme="majorBidi"/>
          <w:b/>
          <w:bCs/>
          <w:sz w:val="20"/>
          <w:szCs w:val="20"/>
          <w:lang w:bidi="ar-IQ"/>
        </w:rPr>
        <w:t>* Signification at P value &lt; 0.05</w:t>
      </w:r>
    </w:p>
    <w:p w14:paraId="768AB565" w14:textId="77777777" w:rsidR="0084453E" w:rsidRDefault="0084453E" w:rsidP="00C6263D">
      <w:pPr>
        <w:bidi w:val="0"/>
        <w:jc w:val="both"/>
        <w:rPr>
          <w:rFonts w:asciiTheme="majorBidi" w:hAnsiTheme="majorBidi" w:cstheme="majorBidi"/>
          <w:sz w:val="24"/>
          <w:szCs w:val="24"/>
          <w:lang w:bidi="ar-IQ"/>
        </w:rPr>
      </w:pPr>
      <w:r w:rsidRPr="0084453E">
        <w:rPr>
          <w:rFonts w:asciiTheme="majorBidi" w:hAnsiTheme="majorBidi" w:cstheme="majorBidi"/>
          <w:b/>
          <w:bCs/>
          <w:sz w:val="24"/>
          <w:szCs w:val="24"/>
          <w:lang w:bidi="ar-IQ"/>
        </w:rPr>
        <w:t>2.</w:t>
      </w:r>
      <w:r w:rsidRPr="0084453E">
        <w:rPr>
          <w:b/>
          <w:bCs/>
        </w:rPr>
        <w:t xml:space="preserve"> </w:t>
      </w:r>
      <w:r w:rsidRPr="0084453E">
        <w:rPr>
          <w:rFonts w:asciiTheme="majorBidi" w:hAnsiTheme="majorBidi" w:cstheme="majorBidi"/>
          <w:b/>
          <w:bCs/>
          <w:sz w:val="24"/>
          <w:szCs w:val="24"/>
          <w:lang w:bidi="ar-IQ"/>
        </w:rPr>
        <w:t>Detection of bone metabolism</w:t>
      </w:r>
      <w:r>
        <w:rPr>
          <w:rFonts w:asciiTheme="majorBidi" w:hAnsiTheme="majorBidi" w:cstheme="majorBidi"/>
          <w:b/>
          <w:bCs/>
          <w:sz w:val="24"/>
          <w:szCs w:val="24"/>
          <w:lang w:bidi="ar-IQ"/>
        </w:rPr>
        <w:t xml:space="preserve"> and resorption</w:t>
      </w:r>
      <w:r w:rsidRPr="0084453E">
        <w:rPr>
          <w:rFonts w:asciiTheme="majorBidi" w:hAnsiTheme="majorBidi" w:cstheme="majorBidi"/>
          <w:b/>
          <w:bCs/>
          <w:sz w:val="24"/>
          <w:szCs w:val="24"/>
          <w:lang w:bidi="ar-IQ"/>
        </w:rPr>
        <w:t xml:space="preserve"> indexes</w:t>
      </w:r>
      <w:r>
        <w:rPr>
          <w:rFonts w:asciiTheme="majorBidi" w:hAnsiTheme="majorBidi" w:cstheme="majorBidi"/>
          <w:sz w:val="24"/>
          <w:szCs w:val="24"/>
          <w:lang w:bidi="ar-IQ"/>
        </w:rPr>
        <w:t xml:space="preserve"> </w:t>
      </w:r>
    </w:p>
    <w:p w14:paraId="425DD6DB" w14:textId="77777777" w:rsidR="00415C6E" w:rsidRDefault="00415C6E" w:rsidP="00C6263D">
      <w:pPr>
        <w:bidi w:val="0"/>
        <w:jc w:val="both"/>
        <w:rPr>
          <w:rFonts w:asciiTheme="majorBidi" w:hAnsiTheme="majorBidi" w:cstheme="majorBidi"/>
          <w:sz w:val="24"/>
          <w:szCs w:val="24"/>
          <w:lang w:bidi="ar-IQ"/>
        </w:rPr>
      </w:pPr>
      <w:r w:rsidRPr="00415C6E">
        <w:rPr>
          <w:rFonts w:asciiTheme="majorBidi" w:hAnsiTheme="majorBidi" w:cstheme="majorBidi"/>
          <w:sz w:val="24"/>
          <w:szCs w:val="24"/>
          <w:lang w:bidi="ar-IQ"/>
        </w:rPr>
        <w:t>The serum levels of calcium and phosphorus measured by colo</w:t>
      </w:r>
      <w:r>
        <w:rPr>
          <w:rFonts w:asciiTheme="majorBidi" w:hAnsiTheme="majorBidi" w:cstheme="majorBidi"/>
          <w:sz w:val="24"/>
          <w:szCs w:val="24"/>
          <w:lang w:bidi="ar-IQ"/>
        </w:rPr>
        <w:t>rimetric method, whereas CTX-1 levels w</w:t>
      </w:r>
      <w:r w:rsidRPr="00415C6E">
        <w:rPr>
          <w:rFonts w:asciiTheme="majorBidi" w:hAnsiTheme="majorBidi" w:cstheme="majorBidi"/>
          <w:sz w:val="24"/>
          <w:szCs w:val="24"/>
          <w:lang w:bidi="ar-IQ"/>
        </w:rPr>
        <w:t>ere detected by ELISA.</w:t>
      </w:r>
    </w:p>
    <w:p w14:paraId="25087071" w14:textId="77777777" w:rsidR="00982172" w:rsidRDefault="00982172" w:rsidP="00C6263D">
      <w:pPr>
        <w:bidi w:val="0"/>
        <w:jc w:val="both"/>
        <w:rPr>
          <w:rFonts w:asciiTheme="majorBidi" w:hAnsiTheme="majorBidi" w:cstheme="majorBidi"/>
          <w:sz w:val="24"/>
          <w:szCs w:val="24"/>
          <w:lang w:bidi="ar-IQ"/>
        </w:rPr>
      </w:pPr>
    </w:p>
    <w:p w14:paraId="4FCE7392" w14:textId="77777777" w:rsidR="00286C05" w:rsidRPr="00286C05" w:rsidRDefault="00286C05" w:rsidP="00C6263D">
      <w:pPr>
        <w:bidi w:val="0"/>
        <w:jc w:val="both"/>
        <w:rPr>
          <w:rFonts w:asciiTheme="majorBidi" w:hAnsiTheme="majorBidi" w:cstheme="majorBidi"/>
          <w:b/>
          <w:bCs/>
          <w:sz w:val="24"/>
          <w:szCs w:val="24"/>
          <w:lang w:bidi="ar-IQ"/>
        </w:rPr>
      </w:pPr>
      <w:r w:rsidRPr="00286C05">
        <w:rPr>
          <w:rFonts w:asciiTheme="majorBidi" w:hAnsiTheme="majorBidi" w:cstheme="majorBidi"/>
          <w:b/>
          <w:bCs/>
          <w:sz w:val="24"/>
          <w:szCs w:val="24"/>
          <w:lang w:bidi="ar-IQ"/>
        </w:rPr>
        <w:lastRenderedPageBreak/>
        <w:t>3. Detection of Bone Density</w:t>
      </w:r>
    </w:p>
    <w:p w14:paraId="3E347DAF" w14:textId="77777777" w:rsidR="00286C05" w:rsidRDefault="00A31C08"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w:t>
      </w:r>
      <w:r w:rsidR="00286C05" w:rsidRPr="00286C05">
        <w:rPr>
          <w:rFonts w:asciiTheme="majorBidi" w:hAnsiTheme="majorBidi" w:cstheme="majorBidi"/>
          <w:sz w:val="24"/>
          <w:szCs w:val="24"/>
          <w:lang w:bidi="ar-IQ"/>
        </w:rPr>
        <w:t>Dual ener</w:t>
      </w:r>
      <w:r w:rsidR="00792228">
        <w:rPr>
          <w:rFonts w:asciiTheme="majorBidi" w:hAnsiTheme="majorBidi" w:cstheme="majorBidi"/>
          <w:sz w:val="24"/>
          <w:szCs w:val="24"/>
          <w:lang w:bidi="ar-IQ"/>
        </w:rPr>
        <w:t xml:space="preserve">gy X-ray absorptiometry was utilized </w:t>
      </w:r>
      <w:r>
        <w:rPr>
          <w:rFonts w:asciiTheme="majorBidi" w:hAnsiTheme="majorBidi" w:cstheme="majorBidi"/>
          <w:sz w:val="24"/>
          <w:szCs w:val="24"/>
          <w:lang w:bidi="ar-IQ"/>
        </w:rPr>
        <w:t xml:space="preserve">for estimate </w:t>
      </w:r>
      <w:r w:rsidRPr="00286C05">
        <w:rPr>
          <w:rFonts w:asciiTheme="majorBidi" w:hAnsiTheme="majorBidi" w:cstheme="majorBidi"/>
          <w:sz w:val="24"/>
          <w:szCs w:val="24"/>
          <w:lang w:bidi="ar-IQ"/>
        </w:rPr>
        <w:t>the</w:t>
      </w:r>
      <w:r w:rsidR="00286C05" w:rsidRPr="00286C05">
        <w:rPr>
          <w:rFonts w:asciiTheme="majorBidi" w:hAnsiTheme="majorBidi" w:cstheme="majorBidi"/>
          <w:sz w:val="24"/>
          <w:szCs w:val="24"/>
          <w:lang w:bidi="ar-IQ"/>
        </w:rPr>
        <w:t xml:space="preserve"> density of </w:t>
      </w:r>
      <w:r w:rsidRPr="00286C05">
        <w:rPr>
          <w:rFonts w:asciiTheme="majorBidi" w:hAnsiTheme="majorBidi" w:cstheme="majorBidi"/>
          <w:sz w:val="24"/>
          <w:szCs w:val="24"/>
          <w:lang w:bidi="ar-IQ"/>
        </w:rPr>
        <w:t xml:space="preserve">bone </w:t>
      </w:r>
      <w:r>
        <w:rPr>
          <w:rFonts w:asciiTheme="majorBidi" w:hAnsiTheme="majorBidi" w:cstheme="majorBidi"/>
          <w:sz w:val="24"/>
          <w:szCs w:val="24"/>
          <w:lang w:bidi="ar-IQ"/>
        </w:rPr>
        <w:t xml:space="preserve">of </w:t>
      </w:r>
      <w:r w:rsidR="00286C05" w:rsidRPr="00286C05">
        <w:rPr>
          <w:rFonts w:asciiTheme="majorBidi" w:hAnsiTheme="majorBidi" w:cstheme="majorBidi"/>
          <w:sz w:val="24"/>
          <w:szCs w:val="24"/>
          <w:lang w:bidi="ar-IQ"/>
        </w:rPr>
        <w:t>the lumbar spine (L1-4) and left femoral neck, and calculate the T value. According to the diagnostic criteria</w:t>
      </w:r>
      <w:r>
        <w:rPr>
          <w:rFonts w:asciiTheme="majorBidi" w:hAnsiTheme="majorBidi" w:cstheme="majorBidi"/>
          <w:sz w:val="24"/>
          <w:szCs w:val="24"/>
          <w:lang w:bidi="ar-IQ"/>
        </w:rPr>
        <w:t xml:space="preserve"> of </w:t>
      </w:r>
      <w:r w:rsidR="00286C05" w:rsidRPr="00286C05">
        <w:rPr>
          <w:rFonts w:asciiTheme="majorBidi" w:hAnsiTheme="majorBidi" w:cstheme="majorBidi"/>
          <w:sz w:val="24"/>
          <w:szCs w:val="24"/>
          <w:lang w:bidi="ar-IQ"/>
        </w:rPr>
        <w:t xml:space="preserve"> </w:t>
      </w:r>
      <w:r w:rsidRPr="00286C05">
        <w:rPr>
          <w:rFonts w:asciiTheme="majorBidi" w:hAnsiTheme="majorBidi" w:cstheme="majorBidi"/>
          <w:sz w:val="24"/>
          <w:szCs w:val="24"/>
          <w:lang w:bidi="ar-IQ"/>
        </w:rPr>
        <w:t xml:space="preserve">WHO </w:t>
      </w:r>
      <w:r w:rsidR="00286C05" w:rsidRPr="00286C05">
        <w:rPr>
          <w:rFonts w:asciiTheme="majorBidi" w:hAnsiTheme="majorBidi" w:cstheme="majorBidi"/>
          <w:sz w:val="24"/>
          <w:szCs w:val="24"/>
          <w:lang w:bidi="ar-IQ"/>
        </w:rPr>
        <w:t xml:space="preserve">for osteoporosis [6]: T value ≥ -1.0 </w:t>
      </w:r>
      <w:r>
        <w:rPr>
          <w:rFonts w:asciiTheme="majorBidi" w:hAnsiTheme="majorBidi" w:cstheme="majorBidi"/>
          <w:sz w:val="24"/>
          <w:szCs w:val="24"/>
          <w:lang w:bidi="ar-IQ"/>
        </w:rPr>
        <w:t xml:space="preserve">referred </w:t>
      </w:r>
      <w:r w:rsidR="00286C05" w:rsidRPr="00286C05">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to </w:t>
      </w:r>
      <w:r w:rsidR="00286C05" w:rsidRPr="00286C05">
        <w:rPr>
          <w:rFonts w:asciiTheme="majorBidi" w:hAnsiTheme="majorBidi" w:cstheme="majorBidi"/>
          <w:sz w:val="24"/>
          <w:szCs w:val="24"/>
          <w:lang w:bidi="ar-IQ"/>
        </w:rPr>
        <w:t xml:space="preserve">normal bone mass, T value </w:t>
      </w:r>
      <w:r>
        <w:rPr>
          <w:rFonts w:asciiTheme="majorBidi" w:hAnsiTheme="majorBidi" w:cstheme="majorBidi"/>
          <w:sz w:val="24"/>
          <w:szCs w:val="24"/>
          <w:lang w:bidi="ar-IQ"/>
        </w:rPr>
        <w:t>(</w:t>
      </w:r>
      <w:r w:rsidR="00286C05" w:rsidRPr="00286C05">
        <w:rPr>
          <w:rFonts w:asciiTheme="majorBidi" w:hAnsiTheme="majorBidi" w:cstheme="majorBidi"/>
          <w:sz w:val="24"/>
          <w:szCs w:val="24"/>
          <w:lang w:bidi="ar-IQ"/>
        </w:rPr>
        <w:t xml:space="preserve">-2.5 </w:t>
      </w:r>
      <w:r>
        <w:rPr>
          <w:rFonts w:asciiTheme="majorBidi" w:hAnsiTheme="majorBidi" w:cstheme="majorBidi"/>
          <w:sz w:val="24"/>
          <w:szCs w:val="24"/>
          <w:lang w:bidi="ar-IQ"/>
        </w:rPr>
        <w:t>to</w:t>
      </w:r>
      <w:r w:rsidR="00286C05" w:rsidRPr="00286C05">
        <w:rPr>
          <w:rFonts w:asciiTheme="majorBidi" w:hAnsiTheme="majorBidi" w:cstheme="majorBidi"/>
          <w:sz w:val="24"/>
          <w:szCs w:val="24"/>
          <w:lang w:bidi="ar-IQ"/>
        </w:rPr>
        <w:t xml:space="preserve"> -1.0</w:t>
      </w:r>
      <w:r>
        <w:rPr>
          <w:rFonts w:asciiTheme="majorBidi" w:hAnsiTheme="majorBidi" w:cstheme="majorBidi"/>
          <w:sz w:val="24"/>
          <w:szCs w:val="24"/>
          <w:lang w:bidi="ar-IQ"/>
        </w:rPr>
        <w:t>)</w:t>
      </w:r>
      <w:r w:rsidR="00286C05" w:rsidRPr="00286C05">
        <w:rPr>
          <w:rFonts w:asciiTheme="majorBidi" w:hAnsiTheme="majorBidi" w:cstheme="majorBidi"/>
          <w:sz w:val="24"/>
          <w:szCs w:val="24"/>
          <w:lang w:bidi="ar-IQ"/>
        </w:rPr>
        <w:t xml:space="preserve"> </w:t>
      </w:r>
      <w:r>
        <w:rPr>
          <w:rFonts w:asciiTheme="majorBidi" w:hAnsiTheme="majorBidi" w:cstheme="majorBidi"/>
          <w:sz w:val="24"/>
          <w:szCs w:val="24"/>
          <w:lang w:bidi="ar-IQ"/>
        </w:rPr>
        <w:t>referred to</w:t>
      </w:r>
      <w:r w:rsidR="00286C05" w:rsidRPr="00286C05">
        <w:rPr>
          <w:rFonts w:asciiTheme="majorBidi" w:hAnsiTheme="majorBidi" w:cstheme="majorBidi"/>
          <w:sz w:val="24"/>
          <w:szCs w:val="24"/>
          <w:lang w:bidi="ar-IQ"/>
        </w:rPr>
        <w:t xml:space="preserve"> osteopenia, and T value ≤</w:t>
      </w:r>
      <w:r w:rsidR="00286C05">
        <w:rPr>
          <w:rFonts w:asciiTheme="majorBidi" w:hAnsiTheme="majorBidi" w:cstheme="majorBidi"/>
          <w:sz w:val="24"/>
          <w:szCs w:val="24"/>
          <w:lang w:bidi="ar-IQ"/>
        </w:rPr>
        <w:t xml:space="preserve"> -2.5 </w:t>
      </w:r>
      <w:r>
        <w:rPr>
          <w:rFonts w:asciiTheme="majorBidi" w:hAnsiTheme="majorBidi" w:cstheme="majorBidi"/>
          <w:sz w:val="24"/>
          <w:szCs w:val="24"/>
          <w:lang w:bidi="ar-IQ"/>
        </w:rPr>
        <w:t xml:space="preserve">referred to </w:t>
      </w:r>
      <w:r w:rsidR="00286C05">
        <w:rPr>
          <w:rFonts w:asciiTheme="majorBidi" w:hAnsiTheme="majorBidi" w:cstheme="majorBidi"/>
          <w:sz w:val="24"/>
          <w:szCs w:val="24"/>
          <w:lang w:bidi="ar-IQ"/>
        </w:rPr>
        <w:t xml:space="preserve"> bone mass</w:t>
      </w:r>
      <w:r w:rsidR="00286C05" w:rsidRPr="00286C05">
        <w:rPr>
          <w:rFonts w:asciiTheme="majorBidi" w:hAnsiTheme="majorBidi" w:cstheme="majorBidi"/>
          <w:sz w:val="24"/>
          <w:szCs w:val="24"/>
          <w:lang w:bidi="ar-IQ"/>
        </w:rPr>
        <w:t>. Note: As long as there is 1 decrease in T value in 2 parts, it is regarded as osteopenia or osteoporosis.</w:t>
      </w:r>
    </w:p>
    <w:p w14:paraId="7EC66DA6" w14:textId="77777777" w:rsidR="00286C05" w:rsidRPr="00286C05" w:rsidRDefault="00286C05" w:rsidP="00C6263D">
      <w:pPr>
        <w:bidi w:val="0"/>
        <w:jc w:val="both"/>
        <w:rPr>
          <w:rFonts w:asciiTheme="majorBidi" w:hAnsiTheme="majorBidi" w:cstheme="majorBidi"/>
          <w:b/>
          <w:bCs/>
          <w:sz w:val="24"/>
          <w:szCs w:val="24"/>
          <w:lang w:bidi="ar-IQ"/>
        </w:rPr>
      </w:pPr>
      <w:r w:rsidRPr="00286C05">
        <w:rPr>
          <w:rFonts w:asciiTheme="majorBidi" w:hAnsiTheme="majorBidi" w:cstheme="majorBidi"/>
          <w:b/>
          <w:bCs/>
          <w:sz w:val="24"/>
          <w:szCs w:val="24"/>
          <w:lang w:bidi="ar-IQ"/>
        </w:rPr>
        <w:t xml:space="preserve">4. </w:t>
      </w:r>
      <w:r w:rsidR="00A31C08">
        <w:rPr>
          <w:rFonts w:asciiTheme="majorBidi" w:hAnsiTheme="majorBidi" w:cstheme="majorBidi"/>
          <w:b/>
          <w:bCs/>
          <w:sz w:val="24"/>
          <w:szCs w:val="24"/>
          <w:lang w:bidi="ar-IQ"/>
        </w:rPr>
        <w:t xml:space="preserve">Data statistical analysis  </w:t>
      </w:r>
    </w:p>
    <w:p w14:paraId="1D6979A9" w14:textId="77777777" w:rsidR="00286C05" w:rsidRDefault="00286C05" w:rsidP="00C6263D">
      <w:pPr>
        <w:bidi w:val="0"/>
        <w:jc w:val="both"/>
        <w:rPr>
          <w:rFonts w:asciiTheme="majorBidi" w:hAnsiTheme="majorBidi" w:cstheme="majorBidi"/>
          <w:sz w:val="24"/>
          <w:szCs w:val="24"/>
          <w:lang w:bidi="ar-IQ"/>
        </w:rPr>
      </w:pPr>
      <w:r w:rsidRPr="00286C05">
        <w:rPr>
          <w:rFonts w:asciiTheme="majorBidi" w:hAnsiTheme="majorBidi" w:cstheme="majorBidi"/>
          <w:sz w:val="24"/>
          <w:szCs w:val="24"/>
          <w:lang w:bidi="ar-IQ"/>
        </w:rPr>
        <w:t>Data analysis using SPSS 2</w:t>
      </w:r>
      <w:r w:rsidR="00AC73D6">
        <w:rPr>
          <w:rFonts w:asciiTheme="majorBidi" w:hAnsiTheme="majorBidi" w:cstheme="majorBidi"/>
          <w:sz w:val="24"/>
          <w:szCs w:val="24"/>
          <w:lang w:bidi="ar-IQ"/>
        </w:rPr>
        <w:t>3</w:t>
      </w:r>
      <w:r w:rsidRPr="00286C05">
        <w:rPr>
          <w:rFonts w:asciiTheme="majorBidi" w:hAnsiTheme="majorBidi" w:cstheme="majorBidi"/>
          <w:sz w:val="24"/>
          <w:szCs w:val="24"/>
          <w:lang w:bidi="ar-IQ"/>
        </w:rPr>
        <w:t xml:space="preserve">.0 </w:t>
      </w:r>
      <w:r w:rsidR="00A31C08">
        <w:rPr>
          <w:rFonts w:asciiTheme="majorBidi" w:hAnsiTheme="majorBidi" w:cstheme="majorBidi"/>
          <w:sz w:val="24"/>
          <w:szCs w:val="24"/>
          <w:lang w:bidi="ar-IQ"/>
        </w:rPr>
        <w:t xml:space="preserve"> </w:t>
      </w:r>
      <w:r w:rsidRPr="00286C05">
        <w:rPr>
          <w:rFonts w:asciiTheme="majorBidi" w:hAnsiTheme="majorBidi" w:cstheme="majorBidi"/>
          <w:sz w:val="24"/>
          <w:szCs w:val="24"/>
          <w:lang w:bidi="ar-IQ"/>
        </w:rPr>
        <w:t>software. Continuous quantita</w:t>
      </w:r>
      <w:r w:rsidR="008667BB">
        <w:rPr>
          <w:rFonts w:asciiTheme="majorBidi" w:hAnsiTheme="majorBidi" w:cstheme="majorBidi"/>
          <w:sz w:val="24"/>
          <w:szCs w:val="24"/>
          <w:lang w:bidi="ar-IQ"/>
        </w:rPr>
        <w:t>tive data are represented by M±S</w:t>
      </w:r>
      <w:r w:rsidRPr="00286C05">
        <w:rPr>
          <w:rFonts w:asciiTheme="majorBidi" w:hAnsiTheme="majorBidi" w:cstheme="majorBidi"/>
          <w:sz w:val="24"/>
          <w:szCs w:val="24"/>
          <w:lang w:bidi="ar-IQ"/>
        </w:rPr>
        <w:t>. The t test was used to compare the means among independent samples, the χ test was used to compare the rate and frequency, and the Mann-Wh</w:t>
      </w:r>
      <w:r w:rsidR="00AC73D6">
        <w:rPr>
          <w:rFonts w:asciiTheme="majorBidi" w:hAnsiTheme="majorBidi" w:cstheme="majorBidi"/>
          <w:sz w:val="24"/>
          <w:szCs w:val="24"/>
          <w:lang w:bidi="ar-IQ"/>
        </w:rPr>
        <w:t>itney U test was used to contrast</w:t>
      </w:r>
      <w:r w:rsidRPr="00286C05">
        <w:rPr>
          <w:rFonts w:asciiTheme="majorBidi" w:hAnsiTheme="majorBidi" w:cstheme="majorBidi"/>
          <w:sz w:val="24"/>
          <w:szCs w:val="24"/>
          <w:lang w:bidi="ar-IQ"/>
        </w:rPr>
        <w:t xml:space="preserve"> the rank data. The correlation between bone metabolism indexes</w:t>
      </w:r>
      <w:r w:rsidR="00750E53">
        <w:rPr>
          <w:rFonts w:asciiTheme="majorBidi" w:hAnsiTheme="majorBidi" w:cstheme="majorBidi"/>
          <w:sz w:val="24"/>
          <w:szCs w:val="24"/>
          <w:lang w:bidi="ar-IQ"/>
        </w:rPr>
        <w:t xml:space="preserve"> and </w:t>
      </w:r>
      <w:r w:rsidRPr="00286C05">
        <w:rPr>
          <w:rFonts w:asciiTheme="majorBidi" w:hAnsiTheme="majorBidi" w:cstheme="majorBidi"/>
          <w:sz w:val="24"/>
          <w:szCs w:val="24"/>
          <w:lang w:bidi="ar-IQ"/>
        </w:rPr>
        <w:t xml:space="preserve"> </w:t>
      </w:r>
      <w:r w:rsidR="00750E53" w:rsidRPr="00286C05">
        <w:rPr>
          <w:rFonts w:asciiTheme="majorBidi" w:hAnsiTheme="majorBidi" w:cstheme="majorBidi"/>
          <w:sz w:val="24"/>
          <w:szCs w:val="24"/>
          <w:lang w:bidi="ar-IQ"/>
        </w:rPr>
        <w:t xml:space="preserve">thyroid function </w:t>
      </w:r>
      <w:r w:rsidRPr="00286C05">
        <w:rPr>
          <w:rFonts w:asciiTheme="majorBidi" w:hAnsiTheme="majorBidi" w:cstheme="majorBidi"/>
          <w:sz w:val="24"/>
          <w:szCs w:val="24"/>
          <w:lang w:bidi="ar-IQ"/>
        </w:rPr>
        <w:t>was analyzed by Pearson correlation. The test level for overall comparison was α=0.05, and the test level after adjustment for subgroup comparison was α=0.0167.</w:t>
      </w:r>
    </w:p>
    <w:p w14:paraId="726D01B6" w14:textId="77777777" w:rsidR="00286C05" w:rsidRPr="00286C05" w:rsidRDefault="00286C05" w:rsidP="00C6263D">
      <w:pPr>
        <w:bidi w:val="0"/>
        <w:jc w:val="both"/>
        <w:rPr>
          <w:rFonts w:asciiTheme="majorBidi" w:hAnsiTheme="majorBidi" w:cstheme="majorBidi"/>
          <w:b/>
          <w:bCs/>
          <w:sz w:val="24"/>
          <w:szCs w:val="24"/>
          <w:lang w:bidi="ar-IQ"/>
        </w:rPr>
      </w:pPr>
      <w:r w:rsidRPr="00286C05">
        <w:rPr>
          <w:rFonts w:asciiTheme="majorBidi" w:hAnsiTheme="majorBidi" w:cstheme="majorBidi"/>
          <w:b/>
          <w:bCs/>
          <w:sz w:val="24"/>
          <w:szCs w:val="24"/>
          <w:lang w:bidi="ar-IQ"/>
        </w:rPr>
        <w:t>Results</w:t>
      </w:r>
    </w:p>
    <w:p w14:paraId="5AE7A198" w14:textId="77777777" w:rsidR="00286C05" w:rsidRPr="00286C05" w:rsidRDefault="00286C05" w:rsidP="00C6263D">
      <w:pPr>
        <w:bidi w:val="0"/>
        <w:jc w:val="both"/>
        <w:rPr>
          <w:rFonts w:asciiTheme="majorBidi" w:hAnsiTheme="majorBidi" w:cstheme="majorBidi"/>
          <w:b/>
          <w:bCs/>
          <w:sz w:val="24"/>
          <w:szCs w:val="24"/>
          <w:lang w:bidi="ar-IQ"/>
        </w:rPr>
      </w:pPr>
      <w:r w:rsidRPr="00286C05">
        <w:rPr>
          <w:rFonts w:asciiTheme="majorBidi" w:hAnsiTheme="majorBidi" w:cstheme="majorBidi"/>
          <w:b/>
          <w:bCs/>
          <w:sz w:val="24"/>
          <w:szCs w:val="24"/>
          <w:lang w:bidi="ar-IQ"/>
        </w:rPr>
        <w:t>Comparison of bone mass distribution in each group</w:t>
      </w:r>
      <w:r w:rsidRPr="00286C05">
        <w:rPr>
          <w:rFonts w:asciiTheme="majorBidi" w:hAnsiTheme="majorBidi" w:cs="Times New Roman"/>
          <w:b/>
          <w:bCs/>
          <w:sz w:val="24"/>
          <w:szCs w:val="24"/>
          <w:rtl/>
          <w:lang w:bidi="ar-IQ"/>
        </w:rPr>
        <w:t xml:space="preserve"> </w:t>
      </w:r>
    </w:p>
    <w:p w14:paraId="032F3570" w14:textId="77777777" w:rsidR="00286C05" w:rsidRDefault="00792228"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bone mass in </w:t>
      </w:r>
      <w:r w:rsidR="00286C05" w:rsidRPr="00286C05">
        <w:rPr>
          <w:rFonts w:asciiTheme="majorBidi" w:hAnsiTheme="majorBidi" w:cstheme="majorBidi"/>
          <w:sz w:val="24"/>
          <w:szCs w:val="24"/>
          <w:lang w:bidi="ar-IQ"/>
        </w:rPr>
        <w:t>hypothyroidi</w:t>
      </w:r>
      <w:r>
        <w:rPr>
          <w:rFonts w:asciiTheme="majorBidi" w:hAnsiTheme="majorBidi" w:cstheme="majorBidi"/>
          <w:sz w:val="24"/>
          <w:szCs w:val="24"/>
          <w:lang w:bidi="ar-IQ"/>
        </w:rPr>
        <w:t>sm group was significantly decreased</w:t>
      </w:r>
      <w:r w:rsidR="00286C05" w:rsidRPr="00286C05">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compared to </w:t>
      </w:r>
      <w:r w:rsidR="00286C05" w:rsidRPr="00286C05">
        <w:rPr>
          <w:rFonts w:asciiTheme="majorBidi" w:hAnsiTheme="majorBidi" w:cstheme="majorBidi"/>
          <w:sz w:val="24"/>
          <w:szCs w:val="24"/>
          <w:lang w:bidi="ar-IQ"/>
        </w:rPr>
        <w:t>control group</w:t>
      </w:r>
      <w:r w:rsidR="00750E53">
        <w:rPr>
          <w:rFonts w:asciiTheme="majorBidi" w:hAnsiTheme="majorBidi" w:cstheme="majorBidi"/>
          <w:sz w:val="24"/>
          <w:szCs w:val="24"/>
          <w:lang w:bidi="ar-IQ"/>
        </w:rPr>
        <w:t xml:space="preserve"> in significant changes </w:t>
      </w:r>
      <w:r w:rsidR="00286C05">
        <w:rPr>
          <w:rFonts w:asciiTheme="majorBidi" w:hAnsiTheme="majorBidi" w:cstheme="majorBidi"/>
          <w:sz w:val="24"/>
          <w:szCs w:val="24"/>
          <w:lang w:bidi="ar-IQ"/>
        </w:rPr>
        <w:t xml:space="preserve"> (P&lt;0.05), Table 2. </w:t>
      </w:r>
    </w:p>
    <w:p w14:paraId="4521CEC5" w14:textId="77777777" w:rsidR="009D33A5" w:rsidRDefault="00F90E9E"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Table (2).</w:t>
      </w:r>
      <w:r w:rsidRPr="00F90E9E">
        <w:rPr>
          <w:rFonts w:asciiTheme="majorBidi" w:hAnsiTheme="majorBidi" w:cstheme="majorBidi"/>
          <w:sz w:val="24"/>
          <w:szCs w:val="24"/>
          <w:lang w:bidi="ar-IQ"/>
        </w:rPr>
        <w:t>Distribution of bone mass in each group</w:t>
      </w:r>
    </w:p>
    <w:tbl>
      <w:tblPr>
        <w:tblStyle w:val="TableGrid"/>
        <w:tblW w:w="0" w:type="auto"/>
        <w:jc w:val="center"/>
        <w:tblLook w:val="04A0" w:firstRow="1" w:lastRow="0" w:firstColumn="1" w:lastColumn="0" w:noHBand="0" w:noVBand="1"/>
      </w:tblPr>
      <w:tblGrid>
        <w:gridCol w:w="1897"/>
        <w:gridCol w:w="1070"/>
        <w:gridCol w:w="1003"/>
        <w:gridCol w:w="1418"/>
        <w:gridCol w:w="992"/>
        <w:gridCol w:w="851"/>
        <w:gridCol w:w="927"/>
      </w:tblGrid>
      <w:tr w:rsidR="009D33A5" w14:paraId="33EDDDF3" w14:textId="77777777" w:rsidTr="00F90E9E">
        <w:trPr>
          <w:jc w:val="center"/>
        </w:trPr>
        <w:tc>
          <w:tcPr>
            <w:tcW w:w="1897" w:type="dxa"/>
          </w:tcPr>
          <w:p w14:paraId="3D06478A"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Study groups</w:t>
            </w:r>
          </w:p>
        </w:tc>
        <w:tc>
          <w:tcPr>
            <w:tcW w:w="1070" w:type="dxa"/>
          </w:tcPr>
          <w:p w14:paraId="34F36029"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Total Number</w:t>
            </w:r>
          </w:p>
        </w:tc>
        <w:tc>
          <w:tcPr>
            <w:tcW w:w="1003" w:type="dxa"/>
          </w:tcPr>
          <w:p w14:paraId="77BCD55D"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Normal</w:t>
            </w:r>
          </w:p>
        </w:tc>
        <w:tc>
          <w:tcPr>
            <w:tcW w:w="1418" w:type="dxa"/>
          </w:tcPr>
          <w:p w14:paraId="22525423"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Bone Mass Reduce</w:t>
            </w:r>
          </w:p>
        </w:tc>
        <w:tc>
          <w:tcPr>
            <w:tcW w:w="992" w:type="dxa"/>
          </w:tcPr>
          <w:p w14:paraId="4B72863A"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Bone loss</w:t>
            </w:r>
          </w:p>
        </w:tc>
        <w:tc>
          <w:tcPr>
            <w:tcW w:w="851" w:type="dxa"/>
          </w:tcPr>
          <w:p w14:paraId="03942BCD"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Z</w:t>
            </w:r>
          </w:p>
        </w:tc>
        <w:tc>
          <w:tcPr>
            <w:tcW w:w="927" w:type="dxa"/>
          </w:tcPr>
          <w:p w14:paraId="66610AF2"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P Value</w:t>
            </w:r>
          </w:p>
        </w:tc>
      </w:tr>
      <w:tr w:rsidR="009D33A5" w14:paraId="13B1F555" w14:textId="77777777" w:rsidTr="00F90E9E">
        <w:trPr>
          <w:jc w:val="center"/>
        </w:trPr>
        <w:tc>
          <w:tcPr>
            <w:tcW w:w="1897" w:type="dxa"/>
          </w:tcPr>
          <w:p w14:paraId="47688CAB"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Control</w:t>
            </w:r>
          </w:p>
        </w:tc>
        <w:tc>
          <w:tcPr>
            <w:tcW w:w="1070" w:type="dxa"/>
          </w:tcPr>
          <w:p w14:paraId="10E94A59"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120</w:t>
            </w:r>
          </w:p>
        </w:tc>
        <w:tc>
          <w:tcPr>
            <w:tcW w:w="1003" w:type="dxa"/>
          </w:tcPr>
          <w:p w14:paraId="60D60415"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86</w:t>
            </w:r>
          </w:p>
        </w:tc>
        <w:tc>
          <w:tcPr>
            <w:tcW w:w="1418" w:type="dxa"/>
          </w:tcPr>
          <w:p w14:paraId="0D678BF9"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33</w:t>
            </w:r>
          </w:p>
        </w:tc>
        <w:tc>
          <w:tcPr>
            <w:tcW w:w="992" w:type="dxa"/>
          </w:tcPr>
          <w:p w14:paraId="587189FA"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w:t>
            </w:r>
          </w:p>
        </w:tc>
        <w:tc>
          <w:tcPr>
            <w:tcW w:w="851" w:type="dxa"/>
            <w:vMerge w:val="restart"/>
          </w:tcPr>
          <w:p w14:paraId="16C71058"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2.28</w:t>
            </w:r>
          </w:p>
        </w:tc>
        <w:tc>
          <w:tcPr>
            <w:tcW w:w="927" w:type="dxa"/>
            <w:vMerge w:val="restart"/>
          </w:tcPr>
          <w:p w14:paraId="6DCAAF3F"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0.01*</w:t>
            </w:r>
          </w:p>
        </w:tc>
      </w:tr>
      <w:tr w:rsidR="009D33A5" w14:paraId="7E5AAC73" w14:textId="77777777" w:rsidTr="00F90E9E">
        <w:trPr>
          <w:jc w:val="center"/>
        </w:trPr>
        <w:tc>
          <w:tcPr>
            <w:tcW w:w="1897" w:type="dxa"/>
          </w:tcPr>
          <w:p w14:paraId="2D1D71A8" w14:textId="77777777" w:rsidR="009D33A5" w:rsidRPr="009D33A5" w:rsidRDefault="009D33A5" w:rsidP="00C6263D">
            <w:pPr>
              <w:bidi w:val="0"/>
              <w:jc w:val="both"/>
              <w:rPr>
                <w:rFonts w:asciiTheme="majorBidi" w:hAnsiTheme="majorBidi" w:cstheme="majorBidi"/>
                <w:b/>
                <w:bCs/>
                <w:sz w:val="24"/>
                <w:szCs w:val="24"/>
                <w:lang w:bidi="ar-IQ"/>
              </w:rPr>
            </w:pPr>
            <w:r w:rsidRPr="009D33A5">
              <w:rPr>
                <w:rFonts w:asciiTheme="majorBidi" w:hAnsiTheme="majorBidi" w:cstheme="majorBidi"/>
                <w:b/>
                <w:bCs/>
                <w:sz w:val="24"/>
                <w:szCs w:val="24"/>
                <w:lang w:bidi="ar-IQ"/>
              </w:rPr>
              <w:t>Hypothyroidism</w:t>
            </w:r>
          </w:p>
        </w:tc>
        <w:tc>
          <w:tcPr>
            <w:tcW w:w="1070" w:type="dxa"/>
          </w:tcPr>
          <w:p w14:paraId="5D9E0136"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90</w:t>
            </w:r>
          </w:p>
        </w:tc>
        <w:tc>
          <w:tcPr>
            <w:tcW w:w="1003" w:type="dxa"/>
          </w:tcPr>
          <w:p w14:paraId="11A163E4"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53</w:t>
            </w:r>
          </w:p>
        </w:tc>
        <w:tc>
          <w:tcPr>
            <w:tcW w:w="1418" w:type="dxa"/>
          </w:tcPr>
          <w:p w14:paraId="7781CB2F"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36</w:t>
            </w:r>
          </w:p>
        </w:tc>
        <w:tc>
          <w:tcPr>
            <w:tcW w:w="992" w:type="dxa"/>
          </w:tcPr>
          <w:p w14:paraId="495CD477" w14:textId="77777777" w:rsidR="009D33A5" w:rsidRDefault="009D33A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w:t>
            </w:r>
          </w:p>
        </w:tc>
        <w:tc>
          <w:tcPr>
            <w:tcW w:w="851" w:type="dxa"/>
            <w:vMerge/>
          </w:tcPr>
          <w:p w14:paraId="094FC5F5" w14:textId="77777777" w:rsidR="009D33A5" w:rsidRDefault="009D33A5" w:rsidP="00C6263D">
            <w:pPr>
              <w:bidi w:val="0"/>
              <w:jc w:val="both"/>
              <w:rPr>
                <w:rFonts w:asciiTheme="majorBidi" w:hAnsiTheme="majorBidi" w:cstheme="majorBidi"/>
                <w:sz w:val="24"/>
                <w:szCs w:val="24"/>
                <w:lang w:bidi="ar-IQ"/>
              </w:rPr>
            </w:pPr>
          </w:p>
        </w:tc>
        <w:tc>
          <w:tcPr>
            <w:tcW w:w="927" w:type="dxa"/>
            <w:vMerge/>
          </w:tcPr>
          <w:p w14:paraId="5469EA9F" w14:textId="77777777" w:rsidR="009D33A5" w:rsidRDefault="009D33A5" w:rsidP="00C6263D">
            <w:pPr>
              <w:bidi w:val="0"/>
              <w:jc w:val="both"/>
              <w:rPr>
                <w:rFonts w:asciiTheme="majorBidi" w:hAnsiTheme="majorBidi" w:cstheme="majorBidi"/>
                <w:sz w:val="24"/>
                <w:szCs w:val="24"/>
                <w:lang w:bidi="ar-IQ"/>
              </w:rPr>
            </w:pPr>
          </w:p>
        </w:tc>
      </w:tr>
    </w:tbl>
    <w:p w14:paraId="7796BE0C" w14:textId="77777777" w:rsidR="00F90E9E" w:rsidRPr="00082CDE" w:rsidRDefault="00F90E9E" w:rsidP="00C6263D">
      <w:pPr>
        <w:bidi w:val="0"/>
        <w:jc w:val="both"/>
        <w:rPr>
          <w:rFonts w:asciiTheme="majorBidi" w:hAnsiTheme="majorBidi" w:cstheme="majorBidi"/>
          <w:b/>
          <w:bCs/>
          <w:sz w:val="20"/>
          <w:szCs w:val="20"/>
          <w:lang w:bidi="ar-IQ"/>
        </w:rPr>
      </w:pPr>
      <w:r w:rsidRPr="00082CDE">
        <w:rPr>
          <w:rFonts w:asciiTheme="majorBidi" w:hAnsiTheme="majorBidi" w:cstheme="majorBidi"/>
          <w:b/>
          <w:bCs/>
          <w:sz w:val="20"/>
          <w:szCs w:val="20"/>
          <w:lang w:bidi="ar-IQ"/>
        </w:rPr>
        <w:t>* Signification at P value &lt; 0.05</w:t>
      </w:r>
      <w:r w:rsidR="00B22238">
        <w:rPr>
          <w:rFonts w:asciiTheme="majorBidi" w:hAnsiTheme="majorBidi" w:cstheme="majorBidi"/>
          <w:b/>
          <w:bCs/>
          <w:sz w:val="20"/>
          <w:szCs w:val="20"/>
          <w:lang w:bidi="ar-IQ"/>
        </w:rPr>
        <w:t xml:space="preserve">, </w:t>
      </w:r>
      <w:r w:rsidR="00B22238" w:rsidRPr="00B22238">
        <w:rPr>
          <w:rFonts w:asciiTheme="majorBidi" w:hAnsiTheme="majorBidi" w:cstheme="majorBidi"/>
          <w:b/>
          <w:bCs/>
          <w:sz w:val="20"/>
          <w:szCs w:val="20"/>
          <w:lang w:bidi="ar-IQ"/>
        </w:rPr>
        <w:t>The corrected inspection level α/3=0.0167</w:t>
      </w:r>
    </w:p>
    <w:p w14:paraId="6D05BF61" w14:textId="77777777" w:rsidR="003F157C" w:rsidRPr="003F157C" w:rsidRDefault="003F157C" w:rsidP="00C6263D">
      <w:pPr>
        <w:bidi w:val="0"/>
        <w:jc w:val="both"/>
        <w:rPr>
          <w:rFonts w:asciiTheme="majorBidi" w:hAnsiTheme="majorBidi" w:cstheme="majorBidi"/>
          <w:b/>
          <w:bCs/>
          <w:sz w:val="24"/>
          <w:szCs w:val="24"/>
          <w:lang w:bidi="ar-IQ"/>
        </w:rPr>
      </w:pPr>
      <w:r w:rsidRPr="003F157C">
        <w:rPr>
          <w:rFonts w:asciiTheme="majorBidi" w:hAnsiTheme="majorBidi" w:cstheme="majorBidi"/>
          <w:b/>
          <w:bCs/>
          <w:sz w:val="24"/>
          <w:szCs w:val="24"/>
          <w:lang w:bidi="ar-IQ"/>
        </w:rPr>
        <w:t>Comparison of bone metabolism indexes in each group</w:t>
      </w:r>
    </w:p>
    <w:p w14:paraId="108BD12B" w14:textId="77777777" w:rsidR="00286C05" w:rsidRDefault="003F157C" w:rsidP="00C6263D">
      <w:pPr>
        <w:bidi w:val="0"/>
        <w:jc w:val="both"/>
        <w:rPr>
          <w:rFonts w:asciiTheme="majorBidi" w:hAnsiTheme="majorBidi" w:cstheme="majorBidi"/>
          <w:sz w:val="24"/>
          <w:szCs w:val="24"/>
          <w:lang w:bidi="ar-IQ"/>
        </w:rPr>
      </w:pPr>
      <w:r w:rsidRPr="003F157C">
        <w:rPr>
          <w:rFonts w:asciiTheme="majorBidi" w:hAnsiTheme="majorBidi" w:cstheme="majorBidi"/>
          <w:sz w:val="24"/>
          <w:szCs w:val="24"/>
          <w:lang w:bidi="ar-IQ"/>
        </w:rPr>
        <w:t>The level of bon</w:t>
      </w:r>
      <w:r w:rsidR="008B397B">
        <w:rPr>
          <w:rFonts w:asciiTheme="majorBidi" w:hAnsiTheme="majorBidi" w:cstheme="majorBidi"/>
          <w:sz w:val="24"/>
          <w:szCs w:val="24"/>
          <w:lang w:bidi="ar-IQ"/>
        </w:rPr>
        <w:t xml:space="preserve">e resorption index CTX-1 in </w:t>
      </w:r>
      <w:r w:rsidRPr="003F157C">
        <w:rPr>
          <w:rFonts w:asciiTheme="majorBidi" w:hAnsiTheme="majorBidi" w:cstheme="majorBidi"/>
          <w:sz w:val="24"/>
          <w:szCs w:val="24"/>
          <w:lang w:bidi="ar-IQ"/>
        </w:rPr>
        <w:t xml:space="preserve">hypothyroidism </w:t>
      </w:r>
      <w:r w:rsidR="008B397B">
        <w:rPr>
          <w:rFonts w:asciiTheme="majorBidi" w:hAnsiTheme="majorBidi" w:cstheme="majorBidi"/>
          <w:sz w:val="24"/>
          <w:szCs w:val="24"/>
          <w:lang w:bidi="ar-IQ"/>
        </w:rPr>
        <w:t xml:space="preserve">men </w:t>
      </w:r>
      <w:r w:rsidRPr="003F157C">
        <w:rPr>
          <w:rFonts w:asciiTheme="majorBidi" w:hAnsiTheme="majorBidi" w:cstheme="majorBidi"/>
          <w:sz w:val="24"/>
          <w:szCs w:val="24"/>
          <w:lang w:bidi="ar-IQ"/>
        </w:rPr>
        <w:t xml:space="preserve">was </w:t>
      </w:r>
      <w:r w:rsidR="00750E53">
        <w:rPr>
          <w:rFonts w:asciiTheme="majorBidi" w:hAnsiTheme="majorBidi" w:cstheme="majorBidi"/>
          <w:sz w:val="24"/>
          <w:szCs w:val="24"/>
          <w:lang w:bidi="ar-IQ"/>
        </w:rPr>
        <w:t xml:space="preserve">significant raised </w:t>
      </w:r>
      <w:r w:rsidRPr="003F157C">
        <w:rPr>
          <w:rFonts w:asciiTheme="majorBidi" w:hAnsiTheme="majorBidi" w:cstheme="majorBidi"/>
          <w:sz w:val="24"/>
          <w:szCs w:val="24"/>
          <w:lang w:bidi="ar-IQ"/>
        </w:rPr>
        <w:t xml:space="preserve"> than the control group</w:t>
      </w:r>
      <w:r w:rsidR="00DD1A2D">
        <w:rPr>
          <w:rFonts w:asciiTheme="majorBidi" w:hAnsiTheme="majorBidi" w:cstheme="majorBidi"/>
          <w:sz w:val="24"/>
          <w:szCs w:val="24"/>
          <w:lang w:bidi="ar-IQ"/>
        </w:rPr>
        <w:t xml:space="preserve"> t</w:t>
      </w:r>
      <w:r w:rsidR="00F90E9E">
        <w:rPr>
          <w:rFonts w:asciiTheme="majorBidi" w:hAnsiTheme="majorBidi" w:cstheme="majorBidi"/>
          <w:sz w:val="24"/>
          <w:szCs w:val="24"/>
          <w:lang w:bidi="ar-IQ"/>
        </w:rPr>
        <w:t>able 3</w:t>
      </w:r>
      <w:r w:rsidRPr="003F157C">
        <w:rPr>
          <w:rFonts w:asciiTheme="majorBidi" w:hAnsiTheme="majorBidi" w:cstheme="majorBidi"/>
          <w:sz w:val="24"/>
          <w:szCs w:val="24"/>
          <w:lang w:bidi="ar-IQ"/>
        </w:rPr>
        <w:t xml:space="preserve">. According </w:t>
      </w:r>
      <w:r w:rsidR="00DD1A2D">
        <w:rPr>
          <w:rFonts w:asciiTheme="majorBidi" w:hAnsiTheme="majorBidi" w:cstheme="majorBidi"/>
          <w:sz w:val="24"/>
          <w:szCs w:val="24"/>
          <w:lang w:bidi="ar-IQ"/>
        </w:rPr>
        <w:t>to correlation analysis</w:t>
      </w:r>
      <w:r w:rsidRPr="003F157C">
        <w:rPr>
          <w:rFonts w:asciiTheme="majorBidi" w:hAnsiTheme="majorBidi" w:cstheme="majorBidi"/>
          <w:sz w:val="24"/>
          <w:szCs w:val="24"/>
          <w:lang w:bidi="ar-IQ"/>
        </w:rPr>
        <w:t>, male TSH and CTX-1 were positively cor</w:t>
      </w:r>
      <w:r w:rsidR="00DD1A2D">
        <w:rPr>
          <w:rFonts w:asciiTheme="majorBidi" w:hAnsiTheme="majorBidi" w:cstheme="majorBidi"/>
          <w:sz w:val="24"/>
          <w:szCs w:val="24"/>
          <w:lang w:bidi="ar-IQ"/>
        </w:rPr>
        <w:t>related (r=0.17, P=0.01</w:t>
      </w:r>
      <w:r>
        <w:rPr>
          <w:rFonts w:asciiTheme="majorBidi" w:hAnsiTheme="majorBidi" w:cstheme="majorBidi"/>
          <w:sz w:val="24"/>
          <w:szCs w:val="24"/>
          <w:lang w:bidi="ar-IQ"/>
        </w:rPr>
        <w:t xml:space="preserve">), </w:t>
      </w:r>
      <w:r w:rsidR="00DD1A2D">
        <w:rPr>
          <w:rFonts w:asciiTheme="majorBidi" w:hAnsiTheme="majorBidi" w:cstheme="majorBidi"/>
          <w:sz w:val="24"/>
          <w:szCs w:val="24"/>
          <w:lang w:bidi="ar-IQ"/>
        </w:rPr>
        <w:t>table 4</w:t>
      </w:r>
      <w:r w:rsidRPr="003F157C">
        <w:rPr>
          <w:rFonts w:asciiTheme="majorBidi" w:hAnsiTheme="majorBidi" w:cstheme="majorBidi"/>
          <w:sz w:val="24"/>
          <w:szCs w:val="24"/>
          <w:lang w:bidi="ar-IQ"/>
        </w:rPr>
        <w:t>.</w:t>
      </w:r>
    </w:p>
    <w:p w14:paraId="5EE42BDF" w14:textId="77777777" w:rsidR="00F90E9E" w:rsidRDefault="003977C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Table (3). </w:t>
      </w:r>
      <w:r w:rsidRPr="003977C5">
        <w:rPr>
          <w:rFonts w:asciiTheme="majorBidi" w:hAnsiTheme="majorBidi" w:cstheme="majorBidi"/>
          <w:sz w:val="24"/>
          <w:szCs w:val="24"/>
          <w:lang w:bidi="ar-IQ"/>
        </w:rPr>
        <w:t xml:space="preserve">Comparison of bone metabolism indexes in each group </w:t>
      </w:r>
    </w:p>
    <w:tbl>
      <w:tblPr>
        <w:tblStyle w:val="TableGrid"/>
        <w:tblW w:w="0" w:type="auto"/>
        <w:jc w:val="center"/>
        <w:tblLook w:val="04A0" w:firstRow="1" w:lastRow="0" w:firstColumn="1" w:lastColumn="0" w:noHBand="0" w:noVBand="1"/>
      </w:tblPr>
      <w:tblGrid>
        <w:gridCol w:w="2053"/>
        <w:gridCol w:w="1817"/>
        <w:gridCol w:w="2552"/>
        <w:gridCol w:w="803"/>
        <w:gridCol w:w="883"/>
      </w:tblGrid>
      <w:tr w:rsidR="003977C5" w14:paraId="4FF1B58C" w14:textId="77777777" w:rsidTr="008B397B">
        <w:trPr>
          <w:jc w:val="center"/>
        </w:trPr>
        <w:tc>
          <w:tcPr>
            <w:tcW w:w="2053" w:type="dxa"/>
          </w:tcPr>
          <w:p w14:paraId="7273EE43" w14:textId="77777777" w:rsidR="003977C5" w:rsidRPr="003977C5" w:rsidRDefault="003977C5" w:rsidP="00C6263D">
            <w:pPr>
              <w:bidi w:val="0"/>
              <w:jc w:val="both"/>
              <w:rPr>
                <w:rFonts w:asciiTheme="majorBidi" w:hAnsiTheme="majorBidi" w:cstheme="majorBidi"/>
                <w:b/>
                <w:bCs/>
                <w:sz w:val="24"/>
                <w:szCs w:val="24"/>
                <w:lang w:bidi="ar-IQ"/>
              </w:rPr>
            </w:pPr>
            <w:r w:rsidRPr="003977C5">
              <w:rPr>
                <w:rFonts w:asciiTheme="majorBidi" w:hAnsiTheme="majorBidi" w:cstheme="majorBidi"/>
                <w:b/>
                <w:bCs/>
                <w:sz w:val="24"/>
                <w:szCs w:val="24"/>
                <w:lang w:bidi="ar-IQ"/>
              </w:rPr>
              <w:t>Indexes</w:t>
            </w:r>
          </w:p>
        </w:tc>
        <w:tc>
          <w:tcPr>
            <w:tcW w:w="1817" w:type="dxa"/>
          </w:tcPr>
          <w:p w14:paraId="648881E4" w14:textId="77777777" w:rsidR="003977C5" w:rsidRDefault="003977C5" w:rsidP="00C6263D">
            <w:pPr>
              <w:bidi w:val="0"/>
              <w:jc w:val="both"/>
              <w:rPr>
                <w:rFonts w:asciiTheme="majorBidi" w:hAnsiTheme="majorBidi" w:cstheme="majorBidi"/>
                <w:b/>
                <w:bCs/>
                <w:sz w:val="24"/>
                <w:szCs w:val="24"/>
                <w:lang w:bidi="ar-IQ"/>
              </w:rPr>
            </w:pPr>
            <w:r w:rsidRPr="003977C5">
              <w:rPr>
                <w:rFonts w:asciiTheme="majorBidi" w:hAnsiTheme="majorBidi" w:cstheme="majorBidi"/>
                <w:b/>
                <w:bCs/>
                <w:sz w:val="24"/>
                <w:szCs w:val="24"/>
                <w:lang w:bidi="ar-IQ"/>
              </w:rPr>
              <w:t xml:space="preserve">Control </w:t>
            </w:r>
            <w:r w:rsidR="008B397B">
              <w:rPr>
                <w:rFonts w:asciiTheme="majorBidi" w:hAnsiTheme="majorBidi" w:cstheme="majorBidi"/>
                <w:b/>
                <w:bCs/>
                <w:sz w:val="24"/>
                <w:szCs w:val="24"/>
                <w:lang w:bidi="ar-IQ"/>
              </w:rPr>
              <w:t>subject</w:t>
            </w:r>
          </w:p>
          <w:p w14:paraId="63EBE3EA" w14:textId="77777777" w:rsidR="003977C5" w:rsidRPr="003977C5" w:rsidRDefault="003977C5" w:rsidP="00C6263D">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(M±S.D)</w:t>
            </w:r>
          </w:p>
        </w:tc>
        <w:tc>
          <w:tcPr>
            <w:tcW w:w="2552" w:type="dxa"/>
          </w:tcPr>
          <w:p w14:paraId="6B936AE9" w14:textId="77777777" w:rsidR="003977C5" w:rsidRDefault="008B397B" w:rsidP="00C6263D">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Hypothyroidism men</w:t>
            </w:r>
          </w:p>
          <w:p w14:paraId="117963DC" w14:textId="77777777" w:rsidR="003977C5" w:rsidRPr="003977C5" w:rsidRDefault="003977C5" w:rsidP="00C6263D">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(M±S.D)</w:t>
            </w:r>
          </w:p>
        </w:tc>
        <w:tc>
          <w:tcPr>
            <w:tcW w:w="803" w:type="dxa"/>
          </w:tcPr>
          <w:p w14:paraId="78F8A218" w14:textId="77777777" w:rsidR="003977C5" w:rsidRPr="003977C5" w:rsidRDefault="003977C5" w:rsidP="00C6263D">
            <w:pPr>
              <w:bidi w:val="0"/>
              <w:jc w:val="both"/>
              <w:rPr>
                <w:rFonts w:asciiTheme="majorBidi" w:hAnsiTheme="majorBidi" w:cstheme="majorBidi"/>
                <w:b/>
                <w:bCs/>
                <w:sz w:val="24"/>
                <w:szCs w:val="24"/>
                <w:lang w:bidi="ar-IQ"/>
              </w:rPr>
            </w:pPr>
            <w:r w:rsidRPr="003977C5">
              <w:rPr>
                <w:rFonts w:asciiTheme="majorBidi" w:hAnsiTheme="majorBidi" w:cstheme="majorBidi"/>
                <w:b/>
                <w:bCs/>
                <w:sz w:val="24"/>
                <w:szCs w:val="24"/>
                <w:lang w:bidi="ar-IQ"/>
              </w:rPr>
              <w:t>t</w:t>
            </w:r>
          </w:p>
        </w:tc>
        <w:tc>
          <w:tcPr>
            <w:tcW w:w="883" w:type="dxa"/>
          </w:tcPr>
          <w:p w14:paraId="756F753E" w14:textId="77777777" w:rsidR="003977C5" w:rsidRPr="003977C5" w:rsidRDefault="003977C5" w:rsidP="00C6263D">
            <w:pPr>
              <w:bidi w:val="0"/>
              <w:jc w:val="both"/>
              <w:rPr>
                <w:rFonts w:asciiTheme="majorBidi" w:hAnsiTheme="majorBidi" w:cstheme="majorBidi"/>
                <w:b/>
                <w:bCs/>
                <w:sz w:val="24"/>
                <w:szCs w:val="24"/>
                <w:lang w:bidi="ar-IQ"/>
              </w:rPr>
            </w:pPr>
            <w:r w:rsidRPr="003977C5">
              <w:rPr>
                <w:rFonts w:asciiTheme="majorBidi" w:hAnsiTheme="majorBidi" w:cstheme="majorBidi"/>
                <w:b/>
                <w:bCs/>
                <w:sz w:val="24"/>
                <w:szCs w:val="24"/>
                <w:lang w:bidi="ar-IQ"/>
              </w:rPr>
              <w:t>P Value</w:t>
            </w:r>
          </w:p>
        </w:tc>
      </w:tr>
      <w:tr w:rsidR="003977C5" w14:paraId="78012298" w14:textId="77777777" w:rsidTr="008B397B">
        <w:trPr>
          <w:jc w:val="center"/>
        </w:trPr>
        <w:tc>
          <w:tcPr>
            <w:tcW w:w="2053" w:type="dxa"/>
          </w:tcPr>
          <w:p w14:paraId="06CE969A" w14:textId="77777777" w:rsidR="003977C5" w:rsidRPr="008667BB" w:rsidRDefault="003977C5" w:rsidP="00C6263D">
            <w:pPr>
              <w:bidi w:val="0"/>
              <w:jc w:val="both"/>
              <w:rPr>
                <w:rFonts w:asciiTheme="majorBidi" w:hAnsiTheme="majorBidi" w:cstheme="majorBidi"/>
                <w:b/>
                <w:bCs/>
                <w:sz w:val="24"/>
                <w:szCs w:val="24"/>
                <w:lang w:bidi="ar-IQ"/>
              </w:rPr>
            </w:pPr>
            <w:r w:rsidRPr="008667BB">
              <w:rPr>
                <w:rFonts w:asciiTheme="majorBidi" w:hAnsiTheme="majorBidi" w:cstheme="majorBidi"/>
                <w:b/>
                <w:bCs/>
                <w:sz w:val="24"/>
                <w:szCs w:val="24"/>
                <w:lang w:bidi="ar-IQ"/>
              </w:rPr>
              <w:t>Ca</w:t>
            </w:r>
            <w:r w:rsidRPr="008667BB">
              <w:rPr>
                <w:rFonts w:asciiTheme="majorBidi" w:hAnsiTheme="majorBidi" w:cstheme="majorBidi"/>
                <w:b/>
                <w:bCs/>
                <w:sz w:val="24"/>
                <w:szCs w:val="24"/>
                <w:vertAlign w:val="superscript"/>
                <w:lang w:bidi="ar-IQ"/>
              </w:rPr>
              <w:t>2</w:t>
            </w:r>
            <w:r w:rsidR="008667BB" w:rsidRPr="008667BB">
              <w:rPr>
                <w:rFonts w:asciiTheme="majorBidi" w:hAnsiTheme="majorBidi" w:cstheme="majorBidi"/>
                <w:b/>
                <w:bCs/>
                <w:sz w:val="24"/>
                <w:szCs w:val="24"/>
                <w:vertAlign w:val="superscript"/>
                <w:lang w:bidi="ar-IQ"/>
              </w:rPr>
              <w:t>+</w:t>
            </w:r>
            <w:r w:rsidRPr="008667BB">
              <w:rPr>
                <w:rFonts w:asciiTheme="majorBidi" w:hAnsiTheme="majorBidi" w:cstheme="majorBidi"/>
                <w:b/>
                <w:bCs/>
                <w:sz w:val="24"/>
                <w:szCs w:val="24"/>
                <w:lang w:bidi="ar-IQ"/>
              </w:rPr>
              <w:t xml:space="preserve"> (mmol. L</w:t>
            </w:r>
            <w:r w:rsidRPr="008667BB">
              <w:rPr>
                <w:rFonts w:asciiTheme="majorBidi" w:hAnsiTheme="majorBidi" w:cstheme="majorBidi"/>
                <w:b/>
                <w:bCs/>
                <w:sz w:val="24"/>
                <w:szCs w:val="24"/>
                <w:vertAlign w:val="superscript"/>
                <w:lang w:bidi="ar-IQ"/>
              </w:rPr>
              <w:t>-1</w:t>
            </w:r>
            <w:r w:rsidRPr="008667BB">
              <w:rPr>
                <w:rFonts w:asciiTheme="majorBidi" w:hAnsiTheme="majorBidi" w:cstheme="majorBidi"/>
                <w:b/>
                <w:bCs/>
                <w:sz w:val="24"/>
                <w:szCs w:val="24"/>
                <w:lang w:bidi="ar-IQ"/>
              </w:rPr>
              <w:t>)</w:t>
            </w:r>
          </w:p>
        </w:tc>
        <w:tc>
          <w:tcPr>
            <w:tcW w:w="1817" w:type="dxa"/>
          </w:tcPr>
          <w:p w14:paraId="3E744426"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2.45 ± 0.13</w:t>
            </w:r>
          </w:p>
        </w:tc>
        <w:tc>
          <w:tcPr>
            <w:tcW w:w="2552" w:type="dxa"/>
          </w:tcPr>
          <w:p w14:paraId="0D67341C"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2.41 ± 0.14</w:t>
            </w:r>
          </w:p>
        </w:tc>
        <w:tc>
          <w:tcPr>
            <w:tcW w:w="803" w:type="dxa"/>
          </w:tcPr>
          <w:p w14:paraId="4B46C287"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0.033</w:t>
            </w:r>
          </w:p>
        </w:tc>
        <w:tc>
          <w:tcPr>
            <w:tcW w:w="883" w:type="dxa"/>
          </w:tcPr>
          <w:p w14:paraId="74A1A342"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0.87</w:t>
            </w:r>
          </w:p>
        </w:tc>
      </w:tr>
      <w:tr w:rsidR="003977C5" w14:paraId="415DBC36" w14:textId="77777777" w:rsidTr="008B397B">
        <w:trPr>
          <w:jc w:val="center"/>
        </w:trPr>
        <w:tc>
          <w:tcPr>
            <w:tcW w:w="2053" w:type="dxa"/>
          </w:tcPr>
          <w:p w14:paraId="5E9918BA" w14:textId="77777777" w:rsidR="003977C5" w:rsidRPr="008667BB" w:rsidRDefault="003977C5" w:rsidP="00C6263D">
            <w:pPr>
              <w:bidi w:val="0"/>
              <w:jc w:val="both"/>
              <w:rPr>
                <w:rFonts w:asciiTheme="majorBidi" w:hAnsiTheme="majorBidi" w:cstheme="majorBidi"/>
                <w:b/>
                <w:bCs/>
                <w:sz w:val="24"/>
                <w:szCs w:val="24"/>
                <w:lang w:bidi="ar-IQ"/>
              </w:rPr>
            </w:pPr>
            <w:r w:rsidRPr="008667BB">
              <w:rPr>
                <w:rFonts w:asciiTheme="majorBidi" w:hAnsiTheme="majorBidi" w:cstheme="majorBidi"/>
                <w:b/>
                <w:bCs/>
                <w:sz w:val="24"/>
                <w:szCs w:val="24"/>
                <w:lang w:bidi="ar-IQ"/>
              </w:rPr>
              <w:t>Pi</w:t>
            </w:r>
            <w:r w:rsidR="008667BB" w:rsidRPr="008667BB">
              <w:rPr>
                <w:rFonts w:asciiTheme="majorBidi" w:hAnsiTheme="majorBidi" w:cstheme="majorBidi"/>
                <w:b/>
                <w:bCs/>
                <w:sz w:val="24"/>
                <w:szCs w:val="24"/>
                <w:vertAlign w:val="superscript"/>
                <w:lang w:bidi="ar-IQ"/>
              </w:rPr>
              <w:t xml:space="preserve"> </w:t>
            </w:r>
            <w:r w:rsidRPr="008667BB">
              <w:rPr>
                <w:rFonts w:asciiTheme="majorBidi" w:hAnsiTheme="majorBidi" w:cstheme="majorBidi"/>
                <w:b/>
                <w:bCs/>
                <w:sz w:val="24"/>
                <w:szCs w:val="24"/>
                <w:vertAlign w:val="superscript"/>
                <w:lang w:bidi="ar-IQ"/>
              </w:rPr>
              <w:t>3</w:t>
            </w:r>
            <w:r w:rsidR="008667BB" w:rsidRPr="008667BB">
              <w:rPr>
                <w:rFonts w:asciiTheme="majorBidi" w:hAnsiTheme="majorBidi" w:cstheme="majorBidi"/>
                <w:b/>
                <w:bCs/>
                <w:sz w:val="24"/>
                <w:szCs w:val="24"/>
                <w:vertAlign w:val="superscript"/>
                <w:lang w:bidi="ar-IQ"/>
              </w:rPr>
              <w:t>+</w:t>
            </w:r>
            <w:r w:rsidRPr="008667BB">
              <w:rPr>
                <w:rFonts w:asciiTheme="majorBidi" w:hAnsiTheme="majorBidi" w:cstheme="majorBidi"/>
                <w:b/>
                <w:bCs/>
                <w:sz w:val="24"/>
                <w:szCs w:val="24"/>
                <w:vertAlign w:val="superscript"/>
                <w:lang w:bidi="ar-IQ"/>
              </w:rPr>
              <w:t xml:space="preserve"> </w:t>
            </w:r>
            <w:r w:rsidRPr="008667BB">
              <w:rPr>
                <w:rFonts w:asciiTheme="majorBidi" w:hAnsiTheme="majorBidi" w:cstheme="majorBidi"/>
                <w:b/>
                <w:bCs/>
                <w:sz w:val="24"/>
                <w:szCs w:val="24"/>
                <w:lang w:bidi="ar-IQ"/>
              </w:rPr>
              <w:t>(mmol. L</w:t>
            </w:r>
            <w:r w:rsidRPr="008667BB">
              <w:rPr>
                <w:rFonts w:asciiTheme="majorBidi" w:hAnsiTheme="majorBidi" w:cstheme="majorBidi"/>
                <w:b/>
                <w:bCs/>
                <w:sz w:val="24"/>
                <w:szCs w:val="24"/>
                <w:vertAlign w:val="superscript"/>
                <w:lang w:bidi="ar-IQ"/>
              </w:rPr>
              <w:t>-1</w:t>
            </w:r>
            <w:r w:rsidRPr="008667BB">
              <w:rPr>
                <w:rFonts w:asciiTheme="majorBidi" w:hAnsiTheme="majorBidi" w:cstheme="majorBidi"/>
                <w:b/>
                <w:bCs/>
                <w:sz w:val="24"/>
                <w:szCs w:val="24"/>
                <w:lang w:bidi="ar-IQ"/>
              </w:rPr>
              <w:t>)</w:t>
            </w:r>
          </w:p>
        </w:tc>
        <w:tc>
          <w:tcPr>
            <w:tcW w:w="1817" w:type="dxa"/>
          </w:tcPr>
          <w:p w14:paraId="32568CFC"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1.24 ± 0.26</w:t>
            </w:r>
          </w:p>
        </w:tc>
        <w:tc>
          <w:tcPr>
            <w:tcW w:w="2552" w:type="dxa"/>
          </w:tcPr>
          <w:p w14:paraId="3D6B6B3A"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1.29 ± 0.20</w:t>
            </w:r>
          </w:p>
        </w:tc>
        <w:tc>
          <w:tcPr>
            <w:tcW w:w="803" w:type="dxa"/>
          </w:tcPr>
          <w:p w14:paraId="5CFD5514"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1.002</w:t>
            </w:r>
          </w:p>
        </w:tc>
        <w:tc>
          <w:tcPr>
            <w:tcW w:w="883" w:type="dxa"/>
          </w:tcPr>
          <w:p w14:paraId="7DB5C544"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0.29</w:t>
            </w:r>
          </w:p>
        </w:tc>
      </w:tr>
      <w:tr w:rsidR="003977C5" w14:paraId="174CC613" w14:textId="77777777" w:rsidTr="008B397B">
        <w:trPr>
          <w:jc w:val="center"/>
        </w:trPr>
        <w:tc>
          <w:tcPr>
            <w:tcW w:w="2053" w:type="dxa"/>
          </w:tcPr>
          <w:p w14:paraId="440A3CDB" w14:textId="77777777" w:rsidR="003977C5" w:rsidRPr="008667BB" w:rsidRDefault="003977C5" w:rsidP="00C6263D">
            <w:pPr>
              <w:bidi w:val="0"/>
              <w:jc w:val="both"/>
              <w:rPr>
                <w:rFonts w:asciiTheme="majorBidi" w:hAnsiTheme="majorBidi" w:cstheme="majorBidi"/>
                <w:b/>
                <w:bCs/>
                <w:sz w:val="24"/>
                <w:szCs w:val="24"/>
                <w:lang w:bidi="ar-IQ"/>
              </w:rPr>
            </w:pPr>
            <w:r w:rsidRPr="008667BB">
              <w:rPr>
                <w:rFonts w:asciiTheme="majorBidi" w:hAnsiTheme="majorBidi" w:cstheme="majorBidi"/>
                <w:b/>
                <w:bCs/>
                <w:sz w:val="24"/>
                <w:szCs w:val="24"/>
                <w:lang w:bidi="ar-IQ"/>
              </w:rPr>
              <w:t>CTX-1(pg.ml</w:t>
            </w:r>
            <w:r w:rsidRPr="008667BB">
              <w:rPr>
                <w:rFonts w:asciiTheme="majorBidi" w:hAnsiTheme="majorBidi" w:cstheme="majorBidi"/>
                <w:b/>
                <w:bCs/>
                <w:sz w:val="24"/>
                <w:szCs w:val="24"/>
                <w:vertAlign w:val="superscript"/>
                <w:lang w:bidi="ar-IQ"/>
              </w:rPr>
              <w:t>-1</w:t>
            </w:r>
            <w:r w:rsidRPr="008667BB">
              <w:rPr>
                <w:rFonts w:asciiTheme="majorBidi" w:hAnsiTheme="majorBidi" w:cstheme="majorBidi"/>
                <w:b/>
                <w:bCs/>
                <w:sz w:val="24"/>
                <w:szCs w:val="24"/>
                <w:lang w:bidi="ar-IQ"/>
              </w:rPr>
              <w:t>)</w:t>
            </w:r>
          </w:p>
        </w:tc>
        <w:tc>
          <w:tcPr>
            <w:tcW w:w="1817" w:type="dxa"/>
          </w:tcPr>
          <w:p w14:paraId="57CD8436"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1.41 ±1.01</w:t>
            </w:r>
          </w:p>
        </w:tc>
        <w:tc>
          <w:tcPr>
            <w:tcW w:w="2552" w:type="dxa"/>
          </w:tcPr>
          <w:p w14:paraId="0255DF9E"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2.43 ± 1.90</w:t>
            </w:r>
          </w:p>
        </w:tc>
        <w:tc>
          <w:tcPr>
            <w:tcW w:w="803" w:type="dxa"/>
          </w:tcPr>
          <w:p w14:paraId="33705544"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7.80</w:t>
            </w:r>
          </w:p>
        </w:tc>
        <w:tc>
          <w:tcPr>
            <w:tcW w:w="883" w:type="dxa"/>
          </w:tcPr>
          <w:p w14:paraId="7783D344" w14:textId="77777777" w:rsidR="003977C5" w:rsidRDefault="00604035"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0.00*</w:t>
            </w:r>
          </w:p>
        </w:tc>
      </w:tr>
    </w:tbl>
    <w:p w14:paraId="77578FCE" w14:textId="77777777" w:rsidR="003977C5" w:rsidRDefault="003977C5" w:rsidP="00C6263D">
      <w:pPr>
        <w:bidi w:val="0"/>
        <w:jc w:val="both"/>
        <w:rPr>
          <w:rFonts w:asciiTheme="majorBidi" w:hAnsiTheme="majorBidi" w:cstheme="majorBidi"/>
          <w:sz w:val="24"/>
          <w:szCs w:val="24"/>
          <w:lang w:bidi="ar-IQ"/>
        </w:rPr>
      </w:pPr>
    </w:p>
    <w:p w14:paraId="7534C7EC" w14:textId="77777777" w:rsidR="00F90E9E" w:rsidRDefault="00DD1A2D" w:rsidP="00C6263D">
      <w:pPr>
        <w:bidi w:val="0"/>
        <w:spacing w:after="0"/>
        <w:jc w:val="both"/>
        <w:rPr>
          <w:rFonts w:asciiTheme="majorBidi" w:hAnsiTheme="majorBidi" w:cstheme="majorBidi"/>
          <w:sz w:val="24"/>
          <w:szCs w:val="24"/>
          <w:lang w:bidi="ar-IQ"/>
        </w:rPr>
      </w:pPr>
      <w:r>
        <w:rPr>
          <w:rFonts w:asciiTheme="majorBidi" w:hAnsiTheme="majorBidi" w:cstheme="majorBidi"/>
          <w:sz w:val="24"/>
          <w:szCs w:val="24"/>
          <w:lang w:bidi="ar-IQ"/>
        </w:rPr>
        <w:lastRenderedPageBreak/>
        <w:t xml:space="preserve">Table (4). </w:t>
      </w:r>
      <w:r w:rsidRPr="00DD1A2D">
        <w:rPr>
          <w:rFonts w:asciiTheme="majorBidi" w:hAnsiTheme="majorBidi" w:cstheme="majorBidi"/>
          <w:sz w:val="24"/>
          <w:szCs w:val="24"/>
          <w:lang w:bidi="ar-IQ"/>
        </w:rPr>
        <w:t xml:space="preserve">Correlation analysis of bone metabolism </w:t>
      </w:r>
      <w:r>
        <w:rPr>
          <w:rFonts w:asciiTheme="majorBidi" w:hAnsiTheme="majorBidi" w:cstheme="majorBidi"/>
          <w:sz w:val="24"/>
          <w:szCs w:val="24"/>
          <w:lang w:bidi="ar-IQ"/>
        </w:rPr>
        <w:t xml:space="preserve">and hypothyroidism </w:t>
      </w:r>
      <w:r w:rsidRPr="00DD1A2D">
        <w:rPr>
          <w:rFonts w:asciiTheme="majorBidi" w:hAnsiTheme="majorBidi" w:cstheme="majorBidi"/>
          <w:sz w:val="24"/>
          <w:szCs w:val="24"/>
          <w:lang w:bidi="ar-IQ"/>
        </w:rPr>
        <w:t>indexes</w:t>
      </w:r>
    </w:p>
    <w:tbl>
      <w:tblPr>
        <w:tblStyle w:val="TableGrid"/>
        <w:tblW w:w="0" w:type="auto"/>
        <w:jc w:val="center"/>
        <w:tblLook w:val="04A0" w:firstRow="1" w:lastRow="0" w:firstColumn="1" w:lastColumn="0" w:noHBand="0" w:noVBand="1"/>
      </w:tblPr>
      <w:tblGrid>
        <w:gridCol w:w="1653"/>
        <w:gridCol w:w="1156"/>
        <w:gridCol w:w="992"/>
        <w:gridCol w:w="993"/>
        <w:gridCol w:w="992"/>
        <w:gridCol w:w="1088"/>
        <w:gridCol w:w="1038"/>
      </w:tblGrid>
      <w:tr w:rsidR="00661B00" w14:paraId="4BACC818" w14:textId="77777777" w:rsidTr="00DD1A2D">
        <w:trPr>
          <w:jc w:val="center"/>
        </w:trPr>
        <w:tc>
          <w:tcPr>
            <w:tcW w:w="1653" w:type="dxa"/>
            <w:vMerge w:val="restart"/>
          </w:tcPr>
          <w:p w14:paraId="04E68CC5"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Indexes</w:t>
            </w:r>
          </w:p>
        </w:tc>
        <w:tc>
          <w:tcPr>
            <w:tcW w:w="2148" w:type="dxa"/>
            <w:gridSpan w:val="2"/>
          </w:tcPr>
          <w:p w14:paraId="1BB30190"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FT3</w:t>
            </w:r>
          </w:p>
        </w:tc>
        <w:tc>
          <w:tcPr>
            <w:tcW w:w="1985" w:type="dxa"/>
            <w:gridSpan w:val="2"/>
          </w:tcPr>
          <w:p w14:paraId="3D4FBA4B"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FT4</w:t>
            </w:r>
          </w:p>
        </w:tc>
        <w:tc>
          <w:tcPr>
            <w:tcW w:w="2126" w:type="dxa"/>
            <w:gridSpan w:val="2"/>
          </w:tcPr>
          <w:p w14:paraId="36AAA5F0"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TSH</w:t>
            </w:r>
          </w:p>
        </w:tc>
      </w:tr>
      <w:tr w:rsidR="00661B00" w14:paraId="3A80D258" w14:textId="77777777" w:rsidTr="00DD1A2D">
        <w:trPr>
          <w:jc w:val="center"/>
        </w:trPr>
        <w:tc>
          <w:tcPr>
            <w:tcW w:w="1653" w:type="dxa"/>
            <w:vMerge/>
          </w:tcPr>
          <w:p w14:paraId="3E852DBD" w14:textId="77777777" w:rsidR="00661B00" w:rsidRPr="00661B00" w:rsidRDefault="00661B00" w:rsidP="00C6263D">
            <w:pPr>
              <w:bidi w:val="0"/>
              <w:jc w:val="both"/>
              <w:rPr>
                <w:rFonts w:asciiTheme="majorBidi" w:hAnsiTheme="majorBidi" w:cstheme="majorBidi"/>
                <w:b/>
                <w:bCs/>
                <w:sz w:val="24"/>
                <w:szCs w:val="24"/>
                <w:lang w:bidi="ar-IQ"/>
              </w:rPr>
            </w:pPr>
          </w:p>
        </w:tc>
        <w:tc>
          <w:tcPr>
            <w:tcW w:w="1156" w:type="dxa"/>
          </w:tcPr>
          <w:p w14:paraId="16389084"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r</w:t>
            </w:r>
          </w:p>
        </w:tc>
        <w:tc>
          <w:tcPr>
            <w:tcW w:w="992" w:type="dxa"/>
          </w:tcPr>
          <w:p w14:paraId="130CDE2A"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P</w:t>
            </w:r>
          </w:p>
        </w:tc>
        <w:tc>
          <w:tcPr>
            <w:tcW w:w="993" w:type="dxa"/>
          </w:tcPr>
          <w:p w14:paraId="6FB3AC4C" w14:textId="77777777" w:rsidR="00661B00" w:rsidRPr="008B397B" w:rsidRDefault="00661B00" w:rsidP="00C6263D">
            <w:pPr>
              <w:bidi w:val="0"/>
              <w:jc w:val="both"/>
              <w:rPr>
                <w:rFonts w:asciiTheme="majorBidi" w:hAnsiTheme="majorBidi" w:cstheme="majorBidi"/>
                <w:b/>
                <w:bCs/>
                <w:sz w:val="24"/>
                <w:szCs w:val="24"/>
                <w:lang w:bidi="ar-IQ"/>
              </w:rPr>
            </w:pPr>
            <w:r w:rsidRPr="008B397B">
              <w:rPr>
                <w:rFonts w:asciiTheme="majorBidi" w:hAnsiTheme="majorBidi" w:cstheme="majorBidi"/>
                <w:b/>
                <w:bCs/>
                <w:sz w:val="24"/>
                <w:szCs w:val="24"/>
                <w:lang w:bidi="ar-IQ"/>
              </w:rPr>
              <w:t>r</w:t>
            </w:r>
          </w:p>
        </w:tc>
        <w:tc>
          <w:tcPr>
            <w:tcW w:w="992" w:type="dxa"/>
          </w:tcPr>
          <w:p w14:paraId="5AE5E4E8" w14:textId="77777777" w:rsidR="00661B00" w:rsidRPr="008B397B" w:rsidRDefault="00661B00" w:rsidP="00C6263D">
            <w:pPr>
              <w:bidi w:val="0"/>
              <w:jc w:val="both"/>
              <w:rPr>
                <w:rFonts w:asciiTheme="majorBidi" w:hAnsiTheme="majorBidi" w:cstheme="majorBidi"/>
                <w:b/>
                <w:bCs/>
                <w:sz w:val="24"/>
                <w:szCs w:val="24"/>
                <w:lang w:bidi="ar-IQ"/>
              </w:rPr>
            </w:pPr>
            <w:r w:rsidRPr="008B397B">
              <w:rPr>
                <w:rFonts w:asciiTheme="majorBidi" w:hAnsiTheme="majorBidi" w:cstheme="majorBidi"/>
                <w:b/>
                <w:bCs/>
                <w:sz w:val="24"/>
                <w:szCs w:val="24"/>
                <w:lang w:bidi="ar-IQ"/>
              </w:rPr>
              <w:t>P</w:t>
            </w:r>
          </w:p>
        </w:tc>
        <w:tc>
          <w:tcPr>
            <w:tcW w:w="1088" w:type="dxa"/>
          </w:tcPr>
          <w:p w14:paraId="408B7784"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r</w:t>
            </w:r>
          </w:p>
        </w:tc>
        <w:tc>
          <w:tcPr>
            <w:tcW w:w="1038" w:type="dxa"/>
          </w:tcPr>
          <w:p w14:paraId="4174D79F"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P</w:t>
            </w:r>
          </w:p>
        </w:tc>
      </w:tr>
      <w:tr w:rsidR="00DD1A2D" w14:paraId="6D67D1F9" w14:textId="77777777" w:rsidTr="00DD1A2D">
        <w:trPr>
          <w:jc w:val="center"/>
        </w:trPr>
        <w:tc>
          <w:tcPr>
            <w:tcW w:w="1653" w:type="dxa"/>
          </w:tcPr>
          <w:p w14:paraId="7B123CCD" w14:textId="77777777" w:rsidR="00661B00" w:rsidRPr="00661B00" w:rsidRDefault="00661B00" w:rsidP="00C6263D">
            <w:pPr>
              <w:bidi w:val="0"/>
              <w:jc w:val="both"/>
              <w:rPr>
                <w:rFonts w:asciiTheme="majorBidi" w:hAnsiTheme="majorBidi" w:cstheme="majorBidi"/>
                <w:b/>
                <w:bCs/>
                <w:sz w:val="24"/>
                <w:szCs w:val="24"/>
                <w:vertAlign w:val="superscript"/>
                <w:lang w:bidi="ar-IQ"/>
              </w:rPr>
            </w:pPr>
            <w:r w:rsidRPr="00661B00">
              <w:rPr>
                <w:rFonts w:asciiTheme="majorBidi" w:hAnsiTheme="majorBidi" w:cstheme="majorBidi"/>
                <w:b/>
                <w:bCs/>
                <w:sz w:val="24"/>
                <w:szCs w:val="24"/>
                <w:lang w:bidi="ar-IQ"/>
              </w:rPr>
              <w:t>Ca</w:t>
            </w:r>
            <w:r w:rsidRPr="00661B00">
              <w:rPr>
                <w:rFonts w:asciiTheme="majorBidi" w:hAnsiTheme="majorBidi" w:cstheme="majorBidi"/>
                <w:b/>
                <w:bCs/>
                <w:sz w:val="24"/>
                <w:szCs w:val="24"/>
                <w:vertAlign w:val="superscript"/>
                <w:lang w:bidi="ar-IQ"/>
              </w:rPr>
              <w:t>2+</w:t>
            </w:r>
          </w:p>
        </w:tc>
        <w:tc>
          <w:tcPr>
            <w:tcW w:w="1156" w:type="dxa"/>
          </w:tcPr>
          <w:p w14:paraId="05B38594"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0.20</w:t>
            </w:r>
          </w:p>
        </w:tc>
        <w:tc>
          <w:tcPr>
            <w:tcW w:w="992" w:type="dxa"/>
          </w:tcPr>
          <w:p w14:paraId="5318310B"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0.15</w:t>
            </w:r>
          </w:p>
        </w:tc>
        <w:tc>
          <w:tcPr>
            <w:tcW w:w="993" w:type="dxa"/>
          </w:tcPr>
          <w:p w14:paraId="621E4843"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0.15</w:t>
            </w:r>
          </w:p>
        </w:tc>
        <w:tc>
          <w:tcPr>
            <w:tcW w:w="992" w:type="dxa"/>
          </w:tcPr>
          <w:p w14:paraId="3EC7274E"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0.19</w:t>
            </w:r>
          </w:p>
        </w:tc>
        <w:tc>
          <w:tcPr>
            <w:tcW w:w="1088" w:type="dxa"/>
          </w:tcPr>
          <w:p w14:paraId="793BA390"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w:t>
            </w:r>
            <w:r w:rsidR="008B397B">
              <w:rPr>
                <w:rFonts w:asciiTheme="majorBidi" w:hAnsiTheme="majorBidi" w:cstheme="majorBidi"/>
                <w:sz w:val="24"/>
                <w:szCs w:val="24"/>
                <w:lang w:bidi="ar-IQ"/>
              </w:rPr>
              <w:t xml:space="preserve"> </w:t>
            </w:r>
            <w:r>
              <w:rPr>
                <w:rFonts w:asciiTheme="majorBidi" w:hAnsiTheme="majorBidi" w:cstheme="majorBidi"/>
                <w:sz w:val="24"/>
                <w:szCs w:val="24"/>
                <w:lang w:bidi="ar-IQ"/>
              </w:rPr>
              <w:t>0.11</w:t>
            </w:r>
          </w:p>
        </w:tc>
        <w:tc>
          <w:tcPr>
            <w:tcW w:w="1038" w:type="dxa"/>
          </w:tcPr>
          <w:p w14:paraId="7FFECF68"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0.35</w:t>
            </w:r>
          </w:p>
        </w:tc>
      </w:tr>
      <w:tr w:rsidR="00DD1A2D" w14:paraId="6208386D" w14:textId="77777777" w:rsidTr="00DD1A2D">
        <w:trPr>
          <w:jc w:val="center"/>
        </w:trPr>
        <w:tc>
          <w:tcPr>
            <w:tcW w:w="1653" w:type="dxa"/>
          </w:tcPr>
          <w:p w14:paraId="42EF2DC6" w14:textId="77777777" w:rsidR="00661B00" w:rsidRPr="00661B00" w:rsidRDefault="00661B00" w:rsidP="00C6263D">
            <w:pPr>
              <w:bidi w:val="0"/>
              <w:jc w:val="both"/>
              <w:rPr>
                <w:rFonts w:asciiTheme="majorBidi" w:hAnsiTheme="majorBidi" w:cstheme="majorBidi"/>
                <w:b/>
                <w:bCs/>
                <w:sz w:val="24"/>
                <w:szCs w:val="24"/>
                <w:vertAlign w:val="superscript"/>
                <w:lang w:bidi="ar-IQ"/>
              </w:rPr>
            </w:pPr>
            <w:r w:rsidRPr="00661B00">
              <w:rPr>
                <w:rFonts w:asciiTheme="majorBidi" w:hAnsiTheme="majorBidi" w:cstheme="majorBidi"/>
                <w:b/>
                <w:bCs/>
                <w:sz w:val="24"/>
                <w:szCs w:val="24"/>
                <w:lang w:bidi="ar-IQ"/>
              </w:rPr>
              <w:t>Pi</w:t>
            </w:r>
            <w:r w:rsidRPr="00661B00">
              <w:rPr>
                <w:rFonts w:asciiTheme="majorBidi" w:hAnsiTheme="majorBidi" w:cstheme="majorBidi"/>
                <w:b/>
                <w:bCs/>
                <w:sz w:val="24"/>
                <w:szCs w:val="24"/>
                <w:vertAlign w:val="superscript"/>
                <w:lang w:bidi="ar-IQ"/>
              </w:rPr>
              <w:t>3+</w:t>
            </w:r>
          </w:p>
        </w:tc>
        <w:tc>
          <w:tcPr>
            <w:tcW w:w="1156" w:type="dxa"/>
          </w:tcPr>
          <w:p w14:paraId="6CBBE98E"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-0.01</w:t>
            </w:r>
          </w:p>
        </w:tc>
        <w:tc>
          <w:tcPr>
            <w:tcW w:w="992" w:type="dxa"/>
          </w:tcPr>
          <w:p w14:paraId="7FFBEA9D"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0.52</w:t>
            </w:r>
          </w:p>
        </w:tc>
        <w:tc>
          <w:tcPr>
            <w:tcW w:w="993" w:type="dxa"/>
          </w:tcPr>
          <w:p w14:paraId="7E6476F4"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-0.16</w:t>
            </w:r>
          </w:p>
        </w:tc>
        <w:tc>
          <w:tcPr>
            <w:tcW w:w="992" w:type="dxa"/>
          </w:tcPr>
          <w:p w14:paraId="6F345A76"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0.39</w:t>
            </w:r>
          </w:p>
        </w:tc>
        <w:tc>
          <w:tcPr>
            <w:tcW w:w="1088" w:type="dxa"/>
          </w:tcPr>
          <w:p w14:paraId="467F4964"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0.04</w:t>
            </w:r>
          </w:p>
        </w:tc>
        <w:tc>
          <w:tcPr>
            <w:tcW w:w="1038" w:type="dxa"/>
          </w:tcPr>
          <w:p w14:paraId="1C2F6A28"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0.85</w:t>
            </w:r>
          </w:p>
        </w:tc>
      </w:tr>
      <w:tr w:rsidR="00DD1A2D" w14:paraId="71301FC0" w14:textId="77777777" w:rsidTr="00DD1A2D">
        <w:trPr>
          <w:jc w:val="center"/>
        </w:trPr>
        <w:tc>
          <w:tcPr>
            <w:tcW w:w="1653" w:type="dxa"/>
          </w:tcPr>
          <w:p w14:paraId="70699AC4" w14:textId="77777777" w:rsidR="00661B00" w:rsidRPr="00661B00" w:rsidRDefault="00661B00" w:rsidP="00C6263D">
            <w:pPr>
              <w:bidi w:val="0"/>
              <w:jc w:val="both"/>
              <w:rPr>
                <w:rFonts w:asciiTheme="majorBidi" w:hAnsiTheme="majorBidi" w:cstheme="majorBidi"/>
                <w:b/>
                <w:bCs/>
                <w:sz w:val="24"/>
                <w:szCs w:val="24"/>
                <w:lang w:bidi="ar-IQ"/>
              </w:rPr>
            </w:pPr>
            <w:r w:rsidRPr="00661B00">
              <w:rPr>
                <w:rFonts w:asciiTheme="majorBidi" w:hAnsiTheme="majorBidi" w:cstheme="majorBidi"/>
                <w:b/>
                <w:bCs/>
                <w:sz w:val="24"/>
                <w:szCs w:val="24"/>
                <w:lang w:bidi="ar-IQ"/>
              </w:rPr>
              <w:t>CTX-1</w:t>
            </w:r>
          </w:p>
        </w:tc>
        <w:tc>
          <w:tcPr>
            <w:tcW w:w="1156" w:type="dxa"/>
          </w:tcPr>
          <w:p w14:paraId="1E6343FF"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0.05</w:t>
            </w:r>
          </w:p>
        </w:tc>
        <w:tc>
          <w:tcPr>
            <w:tcW w:w="992" w:type="dxa"/>
          </w:tcPr>
          <w:p w14:paraId="61344B9A"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0.61</w:t>
            </w:r>
          </w:p>
        </w:tc>
        <w:tc>
          <w:tcPr>
            <w:tcW w:w="993" w:type="dxa"/>
          </w:tcPr>
          <w:p w14:paraId="2E45351A"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w:t>
            </w:r>
            <w:r w:rsidR="008B397B">
              <w:rPr>
                <w:rFonts w:asciiTheme="majorBidi" w:hAnsiTheme="majorBidi" w:cstheme="majorBidi"/>
                <w:sz w:val="24"/>
                <w:szCs w:val="24"/>
                <w:lang w:bidi="ar-IQ"/>
              </w:rPr>
              <w:t xml:space="preserve"> </w:t>
            </w:r>
            <w:r>
              <w:rPr>
                <w:rFonts w:asciiTheme="majorBidi" w:hAnsiTheme="majorBidi" w:cstheme="majorBidi"/>
                <w:sz w:val="24"/>
                <w:szCs w:val="24"/>
                <w:lang w:bidi="ar-IQ"/>
              </w:rPr>
              <w:t>0.06</w:t>
            </w:r>
          </w:p>
        </w:tc>
        <w:tc>
          <w:tcPr>
            <w:tcW w:w="992" w:type="dxa"/>
          </w:tcPr>
          <w:p w14:paraId="3012FE56"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0.58</w:t>
            </w:r>
          </w:p>
        </w:tc>
        <w:tc>
          <w:tcPr>
            <w:tcW w:w="1088" w:type="dxa"/>
          </w:tcPr>
          <w:p w14:paraId="63B4058D"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0.17</w:t>
            </w:r>
          </w:p>
        </w:tc>
        <w:tc>
          <w:tcPr>
            <w:tcW w:w="1038" w:type="dxa"/>
          </w:tcPr>
          <w:p w14:paraId="0C45EA09" w14:textId="77777777" w:rsidR="00661B00" w:rsidRDefault="00661B00"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0.01*</w:t>
            </w:r>
          </w:p>
        </w:tc>
      </w:tr>
    </w:tbl>
    <w:p w14:paraId="5E3F09B3" w14:textId="77777777" w:rsidR="008667BB" w:rsidRPr="00082CDE" w:rsidRDefault="008667BB" w:rsidP="00C6263D">
      <w:pPr>
        <w:bidi w:val="0"/>
        <w:jc w:val="both"/>
        <w:rPr>
          <w:rFonts w:asciiTheme="majorBidi" w:hAnsiTheme="majorBidi" w:cstheme="majorBidi"/>
          <w:b/>
          <w:bCs/>
          <w:sz w:val="20"/>
          <w:szCs w:val="20"/>
          <w:lang w:bidi="ar-IQ"/>
        </w:rPr>
      </w:pPr>
      <w:r w:rsidRPr="00082CDE">
        <w:rPr>
          <w:rFonts w:asciiTheme="majorBidi" w:hAnsiTheme="majorBidi" w:cstheme="majorBidi"/>
          <w:b/>
          <w:bCs/>
          <w:sz w:val="20"/>
          <w:szCs w:val="20"/>
          <w:lang w:bidi="ar-IQ"/>
        </w:rPr>
        <w:t>* Signification at P value &lt; 0.05</w:t>
      </w:r>
    </w:p>
    <w:p w14:paraId="33640918" w14:textId="77777777" w:rsidR="009D33A5" w:rsidRDefault="009D33A5" w:rsidP="00C6263D">
      <w:pPr>
        <w:bidi w:val="0"/>
        <w:spacing w:after="0"/>
        <w:jc w:val="both"/>
        <w:rPr>
          <w:rFonts w:asciiTheme="majorBidi" w:hAnsiTheme="majorBidi" w:cstheme="majorBidi"/>
          <w:sz w:val="24"/>
          <w:szCs w:val="24"/>
          <w:lang w:bidi="ar-IQ"/>
        </w:rPr>
      </w:pPr>
    </w:p>
    <w:p w14:paraId="1FBDBB3B" w14:textId="77777777" w:rsidR="003F157C" w:rsidRPr="005C7579" w:rsidRDefault="00823475" w:rsidP="00C6263D">
      <w:pPr>
        <w:bidi w:val="0"/>
        <w:jc w:val="both"/>
        <w:rPr>
          <w:rFonts w:asciiTheme="majorBidi" w:hAnsiTheme="majorBidi" w:cstheme="majorBidi"/>
          <w:b/>
          <w:bCs/>
          <w:sz w:val="24"/>
          <w:szCs w:val="24"/>
          <w:lang w:bidi="ar-IQ"/>
        </w:rPr>
      </w:pPr>
      <w:r w:rsidRPr="005C7579">
        <w:rPr>
          <w:rFonts w:asciiTheme="majorBidi" w:hAnsiTheme="majorBidi" w:cstheme="majorBidi"/>
          <w:b/>
          <w:bCs/>
          <w:sz w:val="24"/>
          <w:szCs w:val="24"/>
          <w:lang w:bidi="ar-IQ"/>
        </w:rPr>
        <w:t>Discussion</w:t>
      </w:r>
    </w:p>
    <w:p w14:paraId="4CC49449" w14:textId="77777777" w:rsidR="00CA17B8" w:rsidRDefault="00F91DF9" w:rsidP="00C6263D">
      <w:pPr>
        <w:bidi w:val="0"/>
        <w:jc w:val="both"/>
        <w:rPr>
          <w:rFonts w:asciiTheme="majorBidi" w:hAnsiTheme="majorBidi" w:cstheme="majorBidi"/>
          <w:sz w:val="24"/>
          <w:szCs w:val="24"/>
          <w:lang w:bidi="ar-IQ"/>
        </w:rPr>
      </w:pPr>
      <w:r w:rsidRPr="00F91DF9">
        <w:rPr>
          <w:rFonts w:asciiTheme="majorBidi" w:hAnsiTheme="majorBidi" w:cstheme="majorBidi"/>
          <w:sz w:val="24"/>
          <w:szCs w:val="24"/>
          <w:lang w:bidi="ar-IQ"/>
        </w:rPr>
        <w:t>The dynamic</w:t>
      </w:r>
      <w:r>
        <w:rPr>
          <w:rFonts w:asciiTheme="majorBidi" w:hAnsiTheme="majorBidi" w:cstheme="majorBidi"/>
          <w:sz w:val="24"/>
          <w:szCs w:val="24"/>
          <w:lang w:bidi="ar-IQ"/>
        </w:rPr>
        <w:t xml:space="preserve"> balance between bone formation</w:t>
      </w:r>
      <w:r w:rsidRPr="00F91DF9">
        <w:rPr>
          <w:rFonts w:asciiTheme="majorBidi" w:hAnsiTheme="majorBidi" w:cstheme="majorBidi"/>
          <w:sz w:val="24"/>
          <w:szCs w:val="24"/>
          <w:lang w:bidi="ar-IQ"/>
        </w:rPr>
        <w:t xml:space="preserve"> and bone resorption is </w:t>
      </w:r>
      <w:r w:rsidR="00750E53">
        <w:rPr>
          <w:rFonts w:asciiTheme="majorBidi" w:hAnsiTheme="majorBidi" w:cstheme="majorBidi"/>
          <w:sz w:val="24"/>
          <w:szCs w:val="24"/>
          <w:lang w:bidi="ar-IQ"/>
        </w:rPr>
        <w:t xml:space="preserve">an important </w:t>
      </w:r>
      <w:r w:rsidRPr="00F91DF9">
        <w:rPr>
          <w:rFonts w:asciiTheme="majorBidi" w:hAnsiTheme="majorBidi" w:cstheme="majorBidi"/>
          <w:sz w:val="24"/>
          <w:szCs w:val="24"/>
          <w:lang w:bidi="ar-IQ"/>
        </w:rPr>
        <w:t xml:space="preserve"> for normal bone metabolism.</w:t>
      </w:r>
      <w:r w:rsidR="00CA17B8" w:rsidRPr="00CA17B8">
        <w:rPr>
          <w:rFonts w:asciiTheme="majorBidi" w:hAnsiTheme="majorBidi" w:cstheme="majorBidi"/>
          <w:sz w:val="24"/>
          <w:szCs w:val="24"/>
          <w:lang w:bidi="ar-IQ"/>
        </w:rPr>
        <w:t>, and is regulated by a variety of factors. In recent years, endocrine osteoporosis is increasing day by day, and thyroid disease is one of the important causes of secondary osteoporosis. In the past, it was believed that osteoporosis caused by abnormal thyroid function was mainly due to thyroid hormones accelerating bone turnover, and bone resorption was greater than bone formation, thus manifesting osteoporosis, which had nothing to do with thyroid-stimulating hormone [</w:t>
      </w:r>
      <w:r w:rsidR="005C7579">
        <w:rPr>
          <w:rFonts w:asciiTheme="majorBidi" w:hAnsiTheme="majorBidi" w:cstheme="majorBidi"/>
          <w:sz w:val="24"/>
          <w:szCs w:val="24"/>
          <w:lang w:bidi="ar-IQ"/>
        </w:rPr>
        <w:t>7-</w:t>
      </w:r>
      <w:r w:rsidR="00CA17B8" w:rsidRPr="00CA17B8">
        <w:rPr>
          <w:rFonts w:asciiTheme="majorBidi" w:hAnsiTheme="majorBidi" w:cstheme="majorBidi"/>
          <w:sz w:val="24"/>
          <w:szCs w:val="24"/>
          <w:lang w:bidi="ar-IQ"/>
        </w:rPr>
        <w:t xml:space="preserve">8]. </w:t>
      </w:r>
      <w:r w:rsidR="00750E53">
        <w:rPr>
          <w:rFonts w:asciiTheme="majorBidi" w:hAnsiTheme="majorBidi" w:cstheme="majorBidi"/>
          <w:sz w:val="24"/>
          <w:szCs w:val="24"/>
          <w:lang w:bidi="ar-IQ"/>
        </w:rPr>
        <w:t>Other studies</w:t>
      </w:r>
      <w:r w:rsidR="00CA17B8" w:rsidRPr="00CA17B8">
        <w:rPr>
          <w:rFonts w:asciiTheme="majorBidi" w:hAnsiTheme="majorBidi" w:cstheme="majorBidi"/>
          <w:sz w:val="24"/>
          <w:szCs w:val="24"/>
          <w:lang w:bidi="ar-IQ"/>
        </w:rPr>
        <w:t xml:space="preserve"> have shown that TSH itself </w:t>
      </w:r>
      <w:r w:rsidR="00750E53">
        <w:rPr>
          <w:rFonts w:asciiTheme="majorBidi" w:hAnsiTheme="majorBidi" w:cstheme="majorBidi"/>
          <w:sz w:val="24"/>
          <w:szCs w:val="24"/>
          <w:lang w:bidi="ar-IQ"/>
        </w:rPr>
        <w:t>have regulation ability in</w:t>
      </w:r>
      <w:r w:rsidR="00CA17B8" w:rsidRPr="00CA17B8">
        <w:rPr>
          <w:rFonts w:asciiTheme="majorBidi" w:hAnsiTheme="majorBidi" w:cstheme="majorBidi"/>
          <w:sz w:val="24"/>
          <w:szCs w:val="24"/>
          <w:lang w:bidi="ar-IQ"/>
        </w:rPr>
        <w:t xml:space="preserve"> bone metabolism independently of thyroid hormones[9-1</w:t>
      </w:r>
      <w:r w:rsidR="005C7579">
        <w:rPr>
          <w:rFonts w:asciiTheme="majorBidi" w:hAnsiTheme="majorBidi" w:cstheme="majorBidi"/>
          <w:sz w:val="24"/>
          <w:szCs w:val="24"/>
          <w:lang w:bidi="ar-IQ"/>
        </w:rPr>
        <w:t>0</w:t>
      </w:r>
      <w:r w:rsidR="00CA17B8" w:rsidRPr="00CA17B8">
        <w:rPr>
          <w:rFonts w:asciiTheme="majorBidi" w:hAnsiTheme="majorBidi" w:cstheme="majorBidi"/>
          <w:sz w:val="24"/>
          <w:szCs w:val="24"/>
          <w:lang w:bidi="ar-IQ"/>
        </w:rPr>
        <w:t>]. TSH is regulated by the thyroid-stimulating hormone receptor (TSHR) acting on the cell surface [</w:t>
      </w:r>
      <w:r w:rsidR="005C7579">
        <w:rPr>
          <w:rFonts w:asciiTheme="majorBidi" w:hAnsiTheme="majorBidi" w:cstheme="majorBidi"/>
          <w:sz w:val="24"/>
          <w:szCs w:val="24"/>
          <w:lang w:bidi="ar-IQ"/>
        </w:rPr>
        <w:t>11-</w:t>
      </w:r>
      <w:r w:rsidR="00CA17B8" w:rsidRPr="00CA17B8">
        <w:rPr>
          <w:rFonts w:asciiTheme="majorBidi" w:hAnsiTheme="majorBidi" w:cstheme="majorBidi"/>
          <w:sz w:val="24"/>
          <w:szCs w:val="24"/>
          <w:lang w:bidi="ar-IQ"/>
        </w:rPr>
        <w:t>12].</w:t>
      </w:r>
      <w:r w:rsidR="00CA17B8">
        <w:rPr>
          <w:rFonts w:asciiTheme="majorBidi" w:hAnsiTheme="majorBidi" w:cstheme="majorBidi"/>
          <w:sz w:val="24"/>
          <w:szCs w:val="24"/>
          <w:lang w:bidi="ar-IQ"/>
        </w:rPr>
        <w:t xml:space="preserve"> </w:t>
      </w:r>
      <w:r w:rsidR="00CA17B8" w:rsidRPr="00CA17B8">
        <w:rPr>
          <w:rFonts w:asciiTheme="majorBidi" w:hAnsiTheme="majorBidi" w:cstheme="majorBidi"/>
          <w:sz w:val="24"/>
          <w:szCs w:val="24"/>
          <w:lang w:bidi="ar-IQ"/>
        </w:rPr>
        <w:t>TSHR is not only expressed on the thyroid follicular cell membrane, but in recent years, scientists have also detected the RNA and protein expression of TSHR in many extrathyroid tissues, such as thymocytes, cardiomyocytes, hematopoietic stem cells, lymphocytes, testicular cells, kidneys, brains, and humans. Rat osteosarcoma cells, mouse osteoblasts, etc. [13-1</w:t>
      </w:r>
      <w:r w:rsidR="005C7579">
        <w:rPr>
          <w:rFonts w:asciiTheme="majorBidi" w:hAnsiTheme="majorBidi" w:cstheme="majorBidi"/>
          <w:sz w:val="24"/>
          <w:szCs w:val="24"/>
          <w:lang w:bidi="ar-IQ"/>
        </w:rPr>
        <w:t>4</w:t>
      </w:r>
      <w:r w:rsidR="00CA17B8" w:rsidRPr="00CA17B8">
        <w:rPr>
          <w:rFonts w:asciiTheme="majorBidi" w:hAnsiTheme="majorBidi" w:cstheme="majorBidi"/>
          <w:sz w:val="24"/>
          <w:szCs w:val="24"/>
          <w:lang w:bidi="ar-IQ"/>
        </w:rPr>
        <w:t xml:space="preserve">]. Animal experiments have shown that TSH </w:t>
      </w:r>
      <w:r w:rsidR="00750E53">
        <w:rPr>
          <w:rFonts w:asciiTheme="majorBidi" w:hAnsiTheme="majorBidi" w:cstheme="majorBidi"/>
          <w:sz w:val="24"/>
          <w:szCs w:val="24"/>
          <w:lang w:bidi="ar-IQ"/>
        </w:rPr>
        <w:t xml:space="preserve">prevent </w:t>
      </w:r>
      <w:r w:rsidR="00CA17B8" w:rsidRPr="00CA17B8">
        <w:rPr>
          <w:rFonts w:asciiTheme="majorBidi" w:hAnsiTheme="majorBidi" w:cstheme="majorBidi"/>
          <w:sz w:val="24"/>
          <w:szCs w:val="24"/>
          <w:lang w:bidi="ar-IQ"/>
        </w:rPr>
        <w:t xml:space="preserve"> bone remodeling by binding to TSHR on the membrane of osteoblasts and osteoclasts, resulting in decreased osteogenesis and osteoclast effects, resulting in bone loss in mice</w:t>
      </w:r>
      <w:r w:rsidR="0080254A">
        <w:rPr>
          <w:rFonts w:asciiTheme="majorBidi" w:hAnsiTheme="majorBidi" w:cstheme="majorBidi"/>
          <w:sz w:val="24"/>
          <w:szCs w:val="24"/>
          <w:lang w:bidi="ar-IQ"/>
        </w:rPr>
        <w:t xml:space="preserve">. Studies on animal models </w:t>
      </w:r>
      <w:r w:rsidR="00CA17B8" w:rsidRPr="00CA17B8">
        <w:rPr>
          <w:rFonts w:asciiTheme="majorBidi" w:hAnsiTheme="majorBidi" w:cstheme="majorBidi"/>
          <w:sz w:val="24"/>
          <w:szCs w:val="24"/>
          <w:lang w:bidi="ar-IQ"/>
        </w:rPr>
        <w:t>showed that the bone mineral density of TSHR</w:t>
      </w:r>
      <w:r w:rsidR="0080254A">
        <w:rPr>
          <w:rFonts w:asciiTheme="majorBidi" w:hAnsiTheme="majorBidi" w:cstheme="majorBidi"/>
          <w:sz w:val="24"/>
          <w:szCs w:val="24"/>
          <w:lang w:bidi="ar-IQ"/>
        </w:rPr>
        <w:t xml:space="preserve"> knockout mice was notably</w:t>
      </w:r>
      <w:r w:rsidR="00CA17B8" w:rsidRPr="00CA17B8">
        <w:rPr>
          <w:rFonts w:asciiTheme="majorBidi" w:hAnsiTheme="majorBidi" w:cstheme="majorBidi"/>
          <w:sz w:val="24"/>
          <w:szCs w:val="24"/>
          <w:lang w:bidi="ar-IQ"/>
        </w:rPr>
        <w:t xml:space="preserve"> lower than that of wild-type mice</w:t>
      </w:r>
      <w:r w:rsidR="005C7579">
        <w:rPr>
          <w:rFonts w:asciiTheme="majorBidi" w:hAnsiTheme="majorBidi" w:cstheme="majorBidi"/>
          <w:sz w:val="24"/>
          <w:szCs w:val="24"/>
          <w:lang w:bidi="ar-IQ"/>
        </w:rPr>
        <w:t xml:space="preserve"> [5-16]</w:t>
      </w:r>
      <w:r w:rsidR="00CA17B8" w:rsidRPr="00CA17B8">
        <w:rPr>
          <w:rFonts w:asciiTheme="majorBidi" w:hAnsiTheme="majorBidi" w:cstheme="majorBidi"/>
          <w:sz w:val="24"/>
          <w:szCs w:val="24"/>
          <w:lang w:bidi="ar-IQ"/>
        </w:rPr>
        <w:t>. When the expression of TSHR is reduced by 50%, it can lead to large areas of osteoporosis and focal bone sclerosis in knockout mice [17]. Regarding the mechanism of TSH regulating bone metabolism, in vitro studies have shown that TSH acts on TSHR and mainly regulates the expression of bone metabolism markers such as IL-11, OPN, and ALP through the Gs-cAMP pathway [18].</w:t>
      </w:r>
    </w:p>
    <w:p w14:paraId="2C7983CC" w14:textId="77777777" w:rsidR="00CA17B8" w:rsidRDefault="004668EA" w:rsidP="00C6263D">
      <w:pPr>
        <w:bidi w:val="0"/>
        <w:jc w:val="both"/>
        <w:rPr>
          <w:rFonts w:asciiTheme="majorBidi" w:hAnsiTheme="majorBidi" w:cstheme="majorBidi"/>
          <w:sz w:val="24"/>
          <w:szCs w:val="24"/>
          <w:lang w:bidi="ar-IQ"/>
        </w:rPr>
      </w:pPr>
      <w:r w:rsidRPr="004668EA">
        <w:rPr>
          <w:rFonts w:asciiTheme="majorBidi" w:hAnsiTheme="majorBidi" w:cstheme="majorBidi"/>
          <w:sz w:val="24"/>
          <w:szCs w:val="24"/>
          <w:lang w:bidi="ar-IQ"/>
        </w:rPr>
        <w:t>A small molecule ligand of TSHR, D3-βArr, can enhance the TSHR-mediated β-arrestin1 molecular pathway to promote osteoblast differentiation [19</w:t>
      </w:r>
      <w:r w:rsidR="005C7579">
        <w:rPr>
          <w:rFonts w:asciiTheme="majorBidi" w:hAnsiTheme="majorBidi" w:cstheme="majorBidi"/>
          <w:sz w:val="24"/>
          <w:szCs w:val="24"/>
          <w:lang w:bidi="ar-IQ"/>
        </w:rPr>
        <w:t>-20</w:t>
      </w:r>
      <w:r w:rsidRPr="004668EA">
        <w:rPr>
          <w:rFonts w:asciiTheme="majorBidi" w:hAnsiTheme="majorBidi" w:cstheme="majorBidi"/>
          <w:sz w:val="24"/>
          <w:szCs w:val="24"/>
          <w:lang w:bidi="ar-IQ"/>
        </w:rPr>
        <w:t>]. Therefore, the TSH-</w:t>
      </w:r>
      <w:r w:rsidR="008B397B">
        <w:rPr>
          <w:rFonts w:asciiTheme="majorBidi" w:hAnsiTheme="majorBidi" w:cstheme="majorBidi"/>
          <w:sz w:val="24"/>
          <w:szCs w:val="24"/>
          <w:lang w:bidi="ar-IQ"/>
        </w:rPr>
        <w:t xml:space="preserve">TSHR pathway </w:t>
      </w:r>
      <w:r w:rsidR="00750E53">
        <w:rPr>
          <w:rFonts w:asciiTheme="majorBidi" w:hAnsiTheme="majorBidi" w:cstheme="majorBidi"/>
          <w:sz w:val="24"/>
          <w:szCs w:val="24"/>
          <w:lang w:bidi="ar-IQ"/>
        </w:rPr>
        <w:t xml:space="preserve">have major </w:t>
      </w:r>
      <w:r w:rsidR="008B397B">
        <w:rPr>
          <w:rFonts w:asciiTheme="majorBidi" w:hAnsiTheme="majorBidi" w:cstheme="majorBidi"/>
          <w:sz w:val="24"/>
          <w:szCs w:val="24"/>
          <w:lang w:bidi="ar-IQ"/>
        </w:rPr>
        <w:t xml:space="preserve"> </w:t>
      </w:r>
      <w:r w:rsidRPr="004668EA">
        <w:rPr>
          <w:rFonts w:asciiTheme="majorBidi" w:hAnsiTheme="majorBidi" w:cstheme="majorBidi"/>
          <w:sz w:val="24"/>
          <w:szCs w:val="24"/>
          <w:lang w:bidi="ar-IQ"/>
        </w:rPr>
        <w:t>role in the regulation of bone metabolism.</w:t>
      </w:r>
    </w:p>
    <w:p w14:paraId="4CC1E354" w14:textId="77777777" w:rsidR="004668EA" w:rsidRDefault="004668EA" w:rsidP="00C6263D">
      <w:pPr>
        <w:bidi w:val="0"/>
        <w:jc w:val="both"/>
        <w:rPr>
          <w:rFonts w:asciiTheme="majorBidi" w:hAnsiTheme="majorBidi" w:cstheme="majorBidi"/>
          <w:sz w:val="24"/>
          <w:szCs w:val="24"/>
          <w:lang w:bidi="ar-IQ"/>
        </w:rPr>
      </w:pPr>
      <w:r w:rsidRPr="004668EA">
        <w:rPr>
          <w:rFonts w:asciiTheme="majorBidi" w:hAnsiTheme="majorBidi" w:cstheme="majorBidi"/>
          <w:sz w:val="24"/>
          <w:szCs w:val="24"/>
          <w:lang w:bidi="ar-IQ"/>
        </w:rPr>
        <w:t xml:space="preserve">In this paper, the bone mass loss of the two groups was compared by measuring the dual-energy X-ray bone mineral density of the research subjects, and it was </w:t>
      </w:r>
      <w:r w:rsidR="00750E53">
        <w:rPr>
          <w:rFonts w:asciiTheme="majorBidi" w:hAnsiTheme="majorBidi" w:cstheme="majorBidi"/>
          <w:sz w:val="24"/>
          <w:szCs w:val="24"/>
          <w:lang w:bidi="ar-IQ"/>
        </w:rPr>
        <w:t>observed</w:t>
      </w:r>
      <w:r w:rsidRPr="004668EA">
        <w:rPr>
          <w:rFonts w:asciiTheme="majorBidi" w:hAnsiTheme="majorBidi" w:cstheme="majorBidi"/>
          <w:sz w:val="24"/>
          <w:szCs w:val="24"/>
          <w:lang w:bidi="ar-IQ"/>
        </w:rPr>
        <w:t xml:space="preserve"> that the bone mass in the hypothyroidism men group was significantly lower the control group. control group, suggesting the presence of bone in men with hypothyroidism amount is lost. Hao Xiaoyun[2</w:t>
      </w:r>
      <w:r w:rsidR="005C7579">
        <w:rPr>
          <w:rFonts w:asciiTheme="majorBidi" w:hAnsiTheme="majorBidi" w:cstheme="majorBidi"/>
          <w:sz w:val="24"/>
          <w:szCs w:val="24"/>
          <w:lang w:bidi="ar-IQ"/>
        </w:rPr>
        <w:t>1-22</w:t>
      </w:r>
      <w:r w:rsidRPr="004668EA">
        <w:rPr>
          <w:rFonts w:asciiTheme="majorBidi" w:hAnsiTheme="majorBidi" w:cstheme="majorBidi"/>
          <w:sz w:val="24"/>
          <w:szCs w:val="24"/>
          <w:lang w:bidi="ar-IQ"/>
        </w:rPr>
        <w:t xml:space="preserve">] conducted a study on hypothyroid men in Taiyuan </w:t>
      </w:r>
      <w:r w:rsidRPr="004668EA">
        <w:rPr>
          <w:rFonts w:asciiTheme="majorBidi" w:hAnsiTheme="majorBidi" w:cstheme="majorBidi"/>
          <w:sz w:val="24"/>
          <w:szCs w:val="24"/>
          <w:lang w:bidi="ar-IQ"/>
        </w:rPr>
        <w:lastRenderedPageBreak/>
        <w:t xml:space="preserve">and found that their lumbar spine and hip bone mineral density were </w:t>
      </w:r>
      <w:r w:rsidR="001D1ECE">
        <w:rPr>
          <w:rFonts w:asciiTheme="majorBidi" w:hAnsiTheme="majorBidi" w:cstheme="majorBidi"/>
          <w:sz w:val="24"/>
          <w:szCs w:val="24"/>
          <w:lang w:bidi="ar-IQ"/>
        </w:rPr>
        <w:t>decreased</w:t>
      </w:r>
      <w:r w:rsidRPr="004668EA">
        <w:rPr>
          <w:rFonts w:asciiTheme="majorBidi" w:hAnsiTheme="majorBidi" w:cstheme="majorBidi"/>
          <w:sz w:val="24"/>
          <w:szCs w:val="24"/>
          <w:lang w:bidi="ar-IQ"/>
        </w:rPr>
        <w:t xml:space="preserve"> than </w:t>
      </w:r>
      <w:r w:rsidR="001D1ECE">
        <w:rPr>
          <w:rFonts w:asciiTheme="majorBidi" w:hAnsiTheme="majorBidi" w:cstheme="majorBidi"/>
          <w:sz w:val="24"/>
          <w:szCs w:val="24"/>
          <w:lang w:bidi="ar-IQ"/>
        </w:rPr>
        <w:t>in</w:t>
      </w:r>
      <w:r w:rsidRPr="004668EA">
        <w:rPr>
          <w:rFonts w:asciiTheme="majorBidi" w:hAnsiTheme="majorBidi" w:cstheme="majorBidi"/>
          <w:sz w:val="24"/>
          <w:szCs w:val="24"/>
          <w:lang w:bidi="ar-IQ"/>
        </w:rPr>
        <w:t xml:space="preserve"> the control group.</w:t>
      </w:r>
    </w:p>
    <w:p w14:paraId="453AEC86" w14:textId="77777777" w:rsidR="004668EA" w:rsidRDefault="004668EA" w:rsidP="00C6263D">
      <w:pPr>
        <w:bidi w:val="0"/>
        <w:jc w:val="both"/>
        <w:rPr>
          <w:rFonts w:asciiTheme="majorBidi" w:hAnsiTheme="majorBidi" w:cstheme="majorBidi"/>
          <w:sz w:val="24"/>
          <w:szCs w:val="24"/>
          <w:lang w:bidi="ar-IQ"/>
        </w:rPr>
      </w:pPr>
      <w:r w:rsidRPr="004668EA">
        <w:rPr>
          <w:rFonts w:asciiTheme="majorBidi" w:hAnsiTheme="majorBidi" w:cstheme="majorBidi"/>
          <w:sz w:val="24"/>
          <w:szCs w:val="24"/>
          <w:lang w:bidi="ar-IQ"/>
        </w:rPr>
        <w:t xml:space="preserve">The study of 22 patients with hypothyroidism by Liang Libo et al. [23] showed that the serum calcium and bone mineral density </w:t>
      </w:r>
      <w:r w:rsidR="001D1ECE">
        <w:rPr>
          <w:rFonts w:asciiTheme="majorBidi" w:hAnsiTheme="majorBidi" w:cstheme="majorBidi"/>
          <w:sz w:val="24"/>
          <w:szCs w:val="24"/>
          <w:lang w:bidi="ar-IQ"/>
        </w:rPr>
        <w:t xml:space="preserve">concentration </w:t>
      </w:r>
      <w:r w:rsidRPr="004668EA">
        <w:rPr>
          <w:rFonts w:asciiTheme="majorBidi" w:hAnsiTheme="majorBidi" w:cstheme="majorBidi"/>
          <w:sz w:val="24"/>
          <w:szCs w:val="24"/>
          <w:lang w:bidi="ar-IQ"/>
        </w:rPr>
        <w:t xml:space="preserve">of men and women in the hypothyroidism group were lower than </w:t>
      </w:r>
      <w:r w:rsidR="001D1ECE">
        <w:rPr>
          <w:rFonts w:asciiTheme="majorBidi" w:hAnsiTheme="majorBidi" w:cstheme="majorBidi"/>
          <w:sz w:val="24"/>
          <w:szCs w:val="24"/>
          <w:lang w:bidi="ar-IQ"/>
        </w:rPr>
        <w:t>in</w:t>
      </w:r>
      <w:r w:rsidRPr="004668EA">
        <w:rPr>
          <w:rFonts w:asciiTheme="majorBidi" w:hAnsiTheme="majorBidi" w:cstheme="majorBidi"/>
          <w:sz w:val="24"/>
          <w:szCs w:val="24"/>
          <w:lang w:bidi="ar-IQ"/>
        </w:rPr>
        <w:t xml:space="preserve"> the control group, and the serum phosphorus level of men with hypothyroidism increased. Another study found that the blood phosphorus and iPTH of residents in the subclinical hypothyroidism group were higher than cont</w:t>
      </w:r>
      <w:r w:rsidR="0080254A">
        <w:rPr>
          <w:rFonts w:asciiTheme="majorBidi" w:hAnsiTheme="majorBidi" w:cstheme="majorBidi"/>
          <w:sz w:val="24"/>
          <w:szCs w:val="24"/>
          <w:lang w:bidi="ar-IQ"/>
        </w:rPr>
        <w:t xml:space="preserve">rol group, and 25(OH)D was decreased compared to </w:t>
      </w:r>
      <w:r w:rsidRPr="004668EA">
        <w:rPr>
          <w:rFonts w:asciiTheme="majorBidi" w:hAnsiTheme="majorBidi" w:cstheme="majorBidi"/>
          <w:sz w:val="24"/>
          <w:szCs w:val="24"/>
          <w:lang w:bidi="ar-IQ"/>
        </w:rPr>
        <w:t xml:space="preserve">control group, and there was no significant difference in serum calcium between the two groups [24]. However, there was no significant difference in calcium, phosphorus, between the </w:t>
      </w:r>
      <w:r w:rsidR="001D1ECE">
        <w:rPr>
          <w:rFonts w:asciiTheme="majorBidi" w:hAnsiTheme="majorBidi" w:cstheme="majorBidi"/>
          <w:sz w:val="24"/>
          <w:szCs w:val="24"/>
          <w:lang w:bidi="ar-IQ"/>
        </w:rPr>
        <w:t>study</w:t>
      </w:r>
      <w:r w:rsidRPr="004668EA">
        <w:rPr>
          <w:rFonts w:asciiTheme="majorBidi" w:hAnsiTheme="majorBidi" w:cstheme="majorBidi"/>
          <w:sz w:val="24"/>
          <w:szCs w:val="24"/>
          <w:lang w:bidi="ar-IQ"/>
        </w:rPr>
        <w:t xml:space="preserve"> group</w:t>
      </w:r>
      <w:r w:rsidR="001D1ECE">
        <w:rPr>
          <w:rFonts w:asciiTheme="majorBidi" w:hAnsiTheme="majorBidi" w:cstheme="majorBidi"/>
          <w:sz w:val="24"/>
          <w:szCs w:val="24"/>
          <w:lang w:bidi="ar-IQ"/>
        </w:rPr>
        <w:t>s</w:t>
      </w:r>
      <w:r w:rsidRPr="004668EA">
        <w:rPr>
          <w:rFonts w:asciiTheme="majorBidi" w:hAnsiTheme="majorBidi" w:cstheme="majorBidi"/>
          <w:sz w:val="24"/>
          <w:szCs w:val="24"/>
          <w:lang w:bidi="ar-IQ"/>
        </w:rPr>
        <w:t>. It is generally believed that in hypothyroidism, due to the decrease in thyroid hormone levels, the blood calcium level decreases and the blood phosphorus level increases. However, the thyroid hormone levels in patients with hypothyroidism are in the normal range, only the TSH level is elevated, and there is no epidemiological data on the changes of calcium and phosphorus levels.</w:t>
      </w:r>
    </w:p>
    <w:p w14:paraId="0090B6D0" w14:textId="77777777" w:rsidR="004F0DA8" w:rsidRDefault="004F0DA8" w:rsidP="00C6263D">
      <w:pPr>
        <w:bidi w:val="0"/>
        <w:jc w:val="both"/>
        <w:rPr>
          <w:rFonts w:asciiTheme="majorBidi" w:hAnsiTheme="majorBidi" w:cstheme="majorBidi"/>
          <w:sz w:val="24"/>
          <w:szCs w:val="24"/>
          <w:lang w:bidi="ar-IQ"/>
        </w:rPr>
      </w:pPr>
      <w:r w:rsidRPr="004F0DA8">
        <w:rPr>
          <w:rFonts w:asciiTheme="majorBidi" w:hAnsiTheme="majorBidi" w:cstheme="majorBidi"/>
          <w:sz w:val="24"/>
          <w:szCs w:val="24"/>
          <w:lang w:bidi="ar-IQ"/>
        </w:rPr>
        <w:t>CTX-1 is a group of specific peptides at the carboxyl terminus of type I collagen, and it is one of the most widely used markers of collagen degradation, is commonly used indicator to assess the level of bone turnover. In this paper, by measuring the levels of CTX-1 in the research subjects, the results suggest that the level of bone resorption index CTX-1 is increased in hypothyroid men, and the difference is statistically significant. Histomorphological studies of adult bone remodeling by some scholars [</w:t>
      </w:r>
      <w:r w:rsidR="005C7579">
        <w:rPr>
          <w:rFonts w:asciiTheme="majorBidi" w:hAnsiTheme="majorBidi" w:cstheme="majorBidi"/>
          <w:sz w:val="24"/>
          <w:szCs w:val="24"/>
          <w:lang w:bidi="ar-IQ"/>
        </w:rPr>
        <w:t>25-</w:t>
      </w:r>
      <w:r w:rsidRPr="004F0DA8">
        <w:rPr>
          <w:rFonts w:asciiTheme="majorBidi" w:hAnsiTheme="majorBidi" w:cstheme="majorBidi"/>
          <w:sz w:val="24"/>
          <w:szCs w:val="24"/>
          <w:lang w:bidi="ar-IQ"/>
        </w:rPr>
        <w:t xml:space="preserve">26] showed that the rate of bone remodeling slowed down in hypothyroidism, the time of osteoblast-mediated bone formation was extended to 2 times, and the osteoclast-mediated bone resorption was increased. Extended to 4 times, the overall performance of bone mass and bone mineralization increased. In hyperthyroidism, both bone formation and bone resorption are accelerated, and the level of bone resorption is higher </w:t>
      </w:r>
      <w:r w:rsidR="00117D23">
        <w:rPr>
          <w:rFonts w:asciiTheme="majorBidi" w:hAnsiTheme="majorBidi" w:cstheme="majorBidi"/>
          <w:sz w:val="24"/>
          <w:szCs w:val="24"/>
          <w:lang w:bidi="ar-IQ"/>
        </w:rPr>
        <w:t>than the level of bone forming</w:t>
      </w:r>
      <w:r w:rsidRPr="004F0DA8">
        <w:rPr>
          <w:rFonts w:asciiTheme="majorBidi" w:hAnsiTheme="majorBidi" w:cstheme="majorBidi"/>
          <w:sz w:val="24"/>
          <w:szCs w:val="24"/>
          <w:lang w:bidi="ar-IQ"/>
        </w:rPr>
        <w:t>, showing high-transformation osteoporosis [27].</w:t>
      </w:r>
    </w:p>
    <w:p w14:paraId="4AC1ECC7" w14:textId="77777777" w:rsidR="004F0DA8" w:rsidRDefault="004F0DA8" w:rsidP="00C6263D">
      <w:pPr>
        <w:bidi w:val="0"/>
        <w:jc w:val="both"/>
        <w:rPr>
          <w:rFonts w:asciiTheme="majorBidi" w:hAnsiTheme="majorBidi" w:cstheme="majorBidi"/>
          <w:sz w:val="24"/>
          <w:szCs w:val="24"/>
          <w:lang w:bidi="ar-IQ"/>
        </w:rPr>
      </w:pPr>
      <w:r w:rsidRPr="004F0DA8">
        <w:rPr>
          <w:rFonts w:asciiTheme="majorBidi" w:hAnsiTheme="majorBidi" w:cstheme="majorBidi"/>
          <w:sz w:val="24"/>
          <w:szCs w:val="24"/>
          <w:lang w:bidi="ar-IQ"/>
        </w:rPr>
        <w:t>In this research, we further analyzed the correlation between TSH, FT3, FT4 and bone metabolism indexes, and found that TSH was positively correlated with CTX-1, suggesti</w:t>
      </w:r>
      <w:r w:rsidR="00117D23">
        <w:rPr>
          <w:rFonts w:asciiTheme="majorBidi" w:hAnsiTheme="majorBidi" w:cstheme="majorBidi"/>
          <w:sz w:val="24"/>
          <w:szCs w:val="24"/>
          <w:lang w:bidi="ar-IQ"/>
        </w:rPr>
        <w:t xml:space="preserve">ng that in men with </w:t>
      </w:r>
      <w:r w:rsidRPr="004F0DA8">
        <w:rPr>
          <w:rFonts w:asciiTheme="majorBidi" w:hAnsiTheme="majorBidi" w:cstheme="majorBidi"/>
          <w:sz w:val="24"/>
          <w:szCs w:val="24"/>
          <w:lang w:bidi="ar-IQ"/>
        </w:rPr>
        <w:t>hypothyroidism, the level of bone turnover may be accelerated, and the level of bone resorption is higher than the level of bone formation. This can lead to osteopenia or even osteoporosis. However, the analysis of FT3, FT4 and bone metabolism indexes did not find a significant correlation. This may be due to the fact that the levels of T3 and T4 in our observed objects are in the normal range, which is not enough to cause changes in the biochemical indexes of bone metabolism.</w:t>
      </w:r>
      <w:r>
        <w:rPr>
          <w:rFonts w:asciiTheme="majorBidi" w:hAnsiTheme="majorBidi" w:cstheme="majorBidi"/>
          <w:sz w:val="24"/>
          <w:szCs w:val="24"/>
          <w:lang w:bidi="ar-IQ"/>
        </w:rPr>
        <w:t xml:space="preserve"> </w:t>
      </w:r>
      <w:r w:rsidRPr="004F0DA8">
        <w:rPr>
          <w:rFonts w:asciiTheme="majorBidi" w:hAnsiTheme="majorBidi" w:cstheme="majorBidi"/>
          <w:sz w:val="24"/>
          <w:szCs w:val="24"/>
          <w:lang w:bidi="ar-IQ"/>
        </w:rPr>
        <w:t>This research did not measure osteocalcin, vitamin D3, parathyroid hormone and other indicators, so the results have certain limitations. In the next step, we can increase the detection indicators to comprehensively evaluate the bone metabolism status of patients with hypothyroidi</w:t>
      </w:r>
      <w:r w:rsidR="002B03A6">
        <w:rPr>
          <w:rFonts w:asciiTheme="majorBidi" w:hAnsiTheme="majorBidi" w:cstheme="majorBidi"/>
          <w:sz w:val="24"/>
          <w:szCs w:val="24"/>
          <w:lang w:bidi="ar-IQ"/>
        </w:rPr>
        <w:t xml:space="preserve">sm, and further explore the </w:t>
      </w:r>
      <w:r w:rsidRPr="004F0DA8">
        <w:rPr>
          <w:rFonts w:asciiTheme="majorBidi" w:hAnsiTheme="majorBidi" w:cstheme="majorBidi"/>
          <w:sz w:val="24"/>
          <w:szCs w:val="24"/>
          <w:lang w:bidi="ar-IQ"/>
        </w:rPr>
        <w:t xml:space="preserve"> met</w:t>
      </w:r>
      <w:r w:rsidR="002B03A6">
        <w:rPr>
          <w:rFonts w:asciiTheme="majorBidi" w:hAnsiTheme="majorBidi" w:cstheme="majorBidi"/>
          <w:sz w:val="24"/>
          <w:szCs w:val="24"/>
          <w:lang w:bidi="ar-IQ"/>
        </w:rPr>
        <w:t xml:space="preserve">abolism status of </w:t>
      </w:r>
      <w:r w:rsidRPr="004F0DA8">
        <w:rPr>
          <w:rFonts w:asciiTheme="majorBidi" w:hAnsiTheme="majorBidi" w:cstheme="majorBidi"/>
          <w:sz w:val="24"/>
          <w:szCs w:val="24"/>
          <w:lang w:bidi="ar-IQ"/>
        </w:rPr>
        <w:t>hypothyroidism</w:t>
      </w:r>
      <w:r w:rsidR="002B03A6">
        <w:rPr>
          <w:rFonts w:asciiTheme="majorBidi" w:hAnsiTheme="majorBidi" w:cstheme="majorBidi"/>
          <w:sz w:val="24"/>
          <w:szCs w:val="24"/>
          <w:lang w:bidi="ar-IQ"/>
        </w:rPr>
        <w:t xml:space="preserve"> men</w:t>
      </w:r>
      <w:r w:rsidRPr="004F0DA8">
        <w:rPr>
          <w:rFonts w:asciiTheme="majorBidi" w:hAnsiTheme="majorBidi" w:cstheme="majorBidi"/>
          <w:sz w:val="24"/>
          <w:szCs w:val="24"/>
          <w:lang w:bidi="ar-IQ"/>
        </w:rPr>
        <w:t xml:space="preserve">. Downstream mechanisms for increased absorption. In addition, </w:t>
      </w:r>
      <w:r w:rsidR="002B03A6">
        <w:rPr>
          <w:rFonts w:asciiTheme="majorBidi" w:hAnsiTheme="majorBidi" w:cstheme="majorBidi"/>
          <w:sz w:val="24"/>
          <w:szCs w:val="24"/>
          <w:lang w:bidi="ar-IQ"/>
        </w:rPr>
        <w:t>this study focused only on analyzing</w:t>
      </w:r>
      <w:r w:rsidRPr="004F0DA8">
        <w:rPr>
          <w:rFonts w:asciiTheme="majorBidi" w:hAnsiTheme="majorBidi" w:cstheme="majorBidi"/>
          <w:sz w:val="24"/>
          <w:szCs w:val="24"/>
          <w:lang w:bidi="ar-IQ"/>
        </w:rPr>
        <w:t xml:space="preserve"> the correlation between the research factors </w:t>
      </w:r>
      <w:r w:rsidR="002B03A6">
        <w:rPr>
          <w:rFonts w:asciiTheme="majorBidi" w:hAnsiTheme="majorBidi" w:cstheme="majorBidi"/>
          <w:sz w:val="24"/>
          <w:szCs w:val="24"/>
          <w:lang w:bidi="ar-IQ"/>
        </w:rPr>
        <w:t xml:space="preserve">and this </w:t>
      </w:r>
      <w:r w:rsidRPr="004F0DA8">
        <w:rPr>
          <w:rFonts w:asciiTheme="majorBidi" w:hAnsiTheme="majorBidi" w:cstheme="majorBidi"/>
          <w:sz w:val="24"/>
          <w:szCs w:val="24"/>
          <w:lang w:bidi="ar-IQ"/>
        </w:rPr>
        <w:t>cannot explain its causal relationship. The results of the study have certain limitations. More large-</w:t>
      </w:r>
      <w:r w:rsidRPr="004F0DA8">
        <w:rPr>
          <w:rFonts w:asciiTheme="majorBidi" w:hAnsiTheme="majorBidi" w:cstheme="majorBidi"/>
          <w:sz w:val="24"/>
          <w:szCs w:val="24"/>
          <w:lang w:bidi="ar-IQ"/>
        </w:rPr>
        <w:lastRenderedPageBreak/>
        <w:t xml:space="preserve">sample cross-sectional </w:t>
      </w:r>
      <w:r w:rsidR="002B03A6">
        <w:rPr>
          <w:rFonts w:asciiTheme="majorBidi" w:hAnsiTheme="majorBidi" w:cstheme="majorBidi"/>
          <w:sz w:val="24"/>
          <w:szCs w:val="24"/>
          <w:lang w:bidi="ar-IQ"/>
        </w:rPr>
        <w:t>studies or cohort studies are required to explore the relation</w:t>
      </w:r>
      <w:r w:rsidRPr="004F0DA8">
        <w:rPr>
          <w:rFonts w:asciiTheme="majorBidi" w:hAnsiTheme="majorBidi" w:cstheme="majorBidi"/>
          <w:sz w:val="24"/>
          <w:szCs w:val="24"/>
          <w:lang w:bidi="ar-IQ"/>
        </w:rPr>
        <w:t xml:space="preserve"> between bone metabolism and bone metabolism. related mechanisms of thyroid function system.</w:t>
      </w:r>
    </w:p>
    <w:p w14:paraId="71D61E5D"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I.      Ethical approval: </w:t>
      </w:r>
    </w:p>
    <w:p w14:paraId="3E57C0EF"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The manuscript is written in original and all the data, results pertaining to this manuscript are original  according to the research performed. The authors followed academic integrity and have not copied any content/results from another source. </w:t>
      </w:r>
    </w:p>
    <w:p w14:paraId="47916113"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II.     Funding details (In case of Funding): </w:t>
      </w:r>
    </w:p>
    <w:p w14:paraId="2F45DDFC"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The authors of this manuscript did not receive any funding to perform the present research </w:t>
      </w:r>
    </w:p>
    <w:p w14:paraId="134F06F8"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III.    Conflict of interest</w:t>
      </w:r>
    </w:p>
    <w:p w14:paraId="59CB1A41"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 xml:space="preserve">The authors of the study do not have any conflict of interest </w:t>
      </w:r>
    </w:p>
    <w:p w14:paraId="27A27F14"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IV.     Informed Consent:</w:t>
      </w:r>
    </w:p>
    <w:p w14:paraId="1FF1ED32" w14:textId="77777777" w:rsidR="00853041" w:rsidRPr="00722F24" w:rsidRDefault="00853041" w:rsidP="00853041">
      <w:pPr>
        <w:bidi w:val="0"/>
        <w:jc w:val="both"/>
        <w:rPr>
          <w:rFonts w:asciiTheme="majorBidi" w:hAnsiTheme="majorBidi" w:cstheme="majorBidi"/>
          <w:sz w:val="24"/>
          <w:szCs w:val="24"/>
          <w:lang w:bidi="ar-IQ"/>
        </w:rPr>
      </w:pPr>
      <w:r w:rsidRPr="00722F24">
        <w:rPr>
          <w:rFonts w:asciiTheme="majorBidi" w:hAnsiTheme="majorBidi" w:cstheme="majorBidi"/>
          <w:sz w:val="24"/>
          <w:szCs w:val="24"/>
          <w:lang w:bidi="ar-IQ"/>
        </w:rPr>
        <w:t>The authors of the manuscript agrees to publish this research in the journal if it’s considerable by the editors of the journal. The authors provide full consent for reviewing and publishing this manuscript.</w:t>
      </w:r>
    </w:p>
    <w:p w14:paraId="1F256338" w14:textId="77777777" w:rsidR="00853041" w:rsidRPr="002D2FFF" w:rsidRDefault="00853041" w:rsidP="00853041">
      <w:pPr>
        <w:bidi w:val="0"/>
        <w:jc w:val="both"/>
        <w:rPr>
          <w:rFonts w:asciiTheme="majorBidi" w:hAnsiTheme="majorBidi" w:cstheme="majorBidi"/>
          <w:sz w:val="24"/>
          <w:szCs w:val="24"/>
          <w:rtl/>
          <w:lang w:bidi="ar-IQ"/>
        </w:rPr>
      </w:pPr>
      <w:r w:rsidRPr="00722F24">
        <w:rPr>
          <w:rFonts w:asciiTheme="majorBidi" w:hAnsiTheme="majorBidi" w:cstheme="majorBidi"/>
          <w:sz w:val="24"/>
          <w:szCs w:val="24"/>
          <w:lang w:bidi="ar-IQ"/>
        </w:rPr>
        <w:t>V. All the authors of this study contributed equally in terms of performing the research as well as in preparing the manuscript. All the authors of the study followed the guidelines of the corresponding author. Any query/suggestion related to the manuscript can be reached to the corresponding author</w:t>
      </w:r>
    </w:p>
    <w:p w14:paraId="0CA5765F" w14:textId="77777777" w:rsidR="00DF12CE" w:rsidRDefault="00DF12CE" w:rsidP="00C6263D">
      <w:pPr>
        <w:bidi w:val="0"/>
        <w:jc w:val="both"/>
        <w:rPr>
          <w:rFonts w:asciiTheme="majorBidi" w:hAnsiTheme="majorBidi" w:cstheme="majorBidi"/>
          <w:sz w:val="24"/>
          <w:szCs w:val="24"/>
          <w:lang w:bidi="ar-IQ"/>
        </w:rPr>
      </w:pPr>
    </w:p>
    <w:p w14:paraId="42BAE4EA" w14:textId="77777777" w:rsidR="00DF12CE" w:rsidRDefault="00DF12CE" w:rsidP="00C6263D">
      <w:pPr>
        <w:bidi w:val="0"/>
        <w:jc w:val="both"/>
        <w:rPr>
          <w:rFonts w:asciiTheme="majorBidi" w:hAnsiTheme="majorBidi" w:cstheme="majorBidi"/>
          <w:b/>
          <w:bCs/>
          <w:sz w:val="24"/>
          <w:szCs w:val="24"/>
          <w:lang w:bidi="ar-IQ"/>
        </w:rPr>
      </w:pPr>
      <w:r w:rsidRPr="00DF12CE">
        <w:rPr>
          <w:rFonts w:asciiTheme="majorBidi" w:hAnsiTheme="majorBidi" w:cstheme="majorBidi"/>
          <w:b/>
          <w:bCs/>
          <w:sz w:val="24"/>
          <w:szCs w:val="24"/>
          <w:lang w:bidi="ar-IQ"/>
        </w:rPr>
        <w:t>References</w:t>
      </w:r>
    </w:p>
    <w:p w14:paraId="16ECCD03" w14:textId="77777777" w:rsidR="007F7A64" w:rsidRDefault="00DF12CE" w:rsidP="00C6263D">
      <w:pPr>
        <w:bidi w:val="0"/>
        <w:jc w:val="both"/>
        <w:rPr>
          <w:rFonts w:asciiTheme="majorBidi" w:hAnsiTheme="majorBidi" w:cstheme="majorBidi"/>
          <w:b/>
          <w:bCs/>
          <w:sz w:val="24"/>
          <w:szCs w:val="24"/>
          <w:rtl/>
          <w:lang w:bidi="ar-IQ"/>
        </w:rPr>
      </w:pPr>
      <w:r w:rsidRPr="007F7A64">
        <w:rPr>
          <w:rFonts w:asciiTheme="majorBidi" w:hAnsiTheme="majorBidi" w:cstheme="majorBidi"/>
          <w:sz w:val="24"/>
          <w:szCs w:val="24"/>
          <w:lang w:bidi="ar-IQ"/>
        </w:rPr>
        <w:t>[1]</w:t>
      </w:r>
      <w:r w:rsidR="007F7A64" w:rsidRPr="007F7A64">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Bassett JH, Williams GR. Role of Thyroid hormonesin Skeletal development and development [J]. Endocr Rev, 2016, 37(2): 135-187. DOI: 10.1210/er. 2015</w:t>
      </w:r>
      <w:r w:rsidRPr="007F7A64">
        <w:rPr>
          <w:rFonts w:asciiTheme="majorBidi" w:hAnsiTheme="majorBidi" w:cs="Times New Roman"/>
          <w:sz w:val="24"/>
          <w:szCs w:val="24"/>
          <w:rtl/>
          <w:lang w:bidi="ar-IQ"/>
        </w:rPr>
        <w:t>-</w:t>
      </w:r>
      <w:r w:rsidRPr="007F7A64">
        <w:rPr>
          <w:rFonts w:asciiTheme="majorBidi" w:hAnsiTheme="majorBidi" w:cstheme="majorBidi"/>
          <w:sz w:val="24"/>
          <w:szCs w:val="24"/>
          <w:lang w:bidi="ar-IQ"/>
        </w:rPr>
        <w:t>1106</w:t>
      </w:r>
      <w:r>
        <w:rPr>
          <w:rFonts w:asciiTheme="majorBidi" w:hAnsiTheme="majorBidi" w:cstheme="majorBidi"/>
          <w:b/>
          <w:bCs/>
          <w:sz w:val="24"/>
          <w:szCs w:val="24"/>
          <w:lang w:bidi="ar-IQ"/>
        </w:rPr>
        <w:t>.</w:t>
      </w:r>
    </w:p>
    <w:p w14:paraId="1581A410" w14:textId="77777777" w:rsidR="00DF12CE" w:rsidRPr="00DF12CE" w:rsidRDefault="007F7A64" w:rsidP="00C6263D">
      <w:pPr>
        <w:bidi w:val="0"/>
        <w:jc w:val="both"/>
        <w:rPr>
          <w:rFonts w:asciiTheme="majorBidi" w:hAnsiTheme="majorBidi" w:cstheme="majorBidi"/>
          <w:b/>
          <w:bCs/>
          <w:sz w:val="24"/>
          <w:szCs w:val="24"/>
          <w:lang w:bidi="ar-IQ"/>
        </w:rPr>
      </w:pPr>
      <w:r>
        <w:rPr>
          <w:rFonts w:asciiTheme="majorBidi" w:hAnsiTheme="majorBidi" w:cstheme="majorBidi"/>
          <w:b/>
          <w:bCs/>
          <w:sz w:val="24"/>
          <w:szCs w:val="24"/>
          <w:lang w:bidi="ar-IQ"/>
        </w:rPr>
        <w:t>[</w:t>
      </w:r>
      <w:r>
        <w:rPr>
          <w:rFonts w:asciiTheme="majorBidi" w:hAnsiTheme="majorBidi" w:cstheme="majorBidi"/>
          <w:sz w:val="24"/>
          <w:szCs w:val="24"/>
          <w:lang w:bidi="ar-IQ"/>
        </w:rPr>
        <w:t xml:space="preserve">2] </w:t>
      </w:r>
      <w:r w:rsidR="00DF12CE" w:rsidRPr="00DF12CE">
        <w:rPr>
          <w:rFonts w:asciiTheme="majorBidi" w:hAnsiTheme="majorBidi" w:cstheme="majorBidi"/>
          <w:sz w:val="24"/>
          <w:szCs w:val="24"/>
          <w:lang w:bidi="ar-IQ"/>
        </w:rPr>
        <w:t>Baliram R, Latif R, Berko</w:t>
      </w:r>
      <w:r w:rsidR="009E27BC">
        <w:rPr>
          <w:rFonts w:asciiTheme="majorBidi" w:hAnsiTheme="majorBidi" w:cstheme="majorBidi"/>
          <w:sz w:val="24"/>
          <w:szCs w:val="24"/>
          <w:lang w:bidi="ar-IQ"/>
        </w:rPr>
        <w:t>witz J, et al. Thyroid-stimula</w:t>
      </w:r>
      <w:r w:rsidR="00DF12CE" w:rsidRPr="00DF12CE">
        <w:rPr>
          <w:rFonts w:asciiTheme="majorBidi" w:hAnsiTheme="majorBidi" w:cstheme="majorBidi"/>
          <w:sz w:val="24"/>
          <w:szCs w:val="24"/>
          <w:lang w:bidi="ar-IQ"/>
        </w:rPr>
        <w:t>ting</w:t>
      </w:r>
      <w:r w:rsidR="009E27BC">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hormone</w:t>
      </w:r>
      <w:r w:rsidR="009E27BC">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induces</w:t>
      </w:r>
      <w:r w:rsidR="009E27BC">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a</w:t>
      </w:r>
      <w:r>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Wnt-dependent, feed-forward loop</w:t>
      </w:r>
      <w:r w:rsidR="009E27BC">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for</w:t>
      </w:r>
      <w:r w:rsidR="009E27BC">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osteoblast</w:t>
      </w:r>
      <w:r w:rsidR="009E27BC">
        <w:rPr>
          <w:rFonts w:asciiTheme="majorBidi" w:hAnsiTheme="majorBidi" w:cstheme="majorBidi"/>
          <w:sz w:val="24"/>
          <w:szCs w:val="24"/>
          <w:lang w:bidi="ar-IQ"/>
        </w:rPr>
        <w:t xml:space="preserve"> oogenesis </w:t>
      </w:r>
      <w:r w:rsidR="00DF12CE" w:rsidRPr="00DF12CE">
        <w:rPr>
          <w:rFonts w:asciiTheme="majorBidi" w:hAnsiTheme="majorBidi" w:cstheme="majorBidi"/>
          <w:sz w:val="24"/>
          <w:szCs w:val="24"/>
          <w:lang w:bidi="ar-IQ"/>
        </w:rPr>
        <w:t>in</w:t>
      </w:r>
      <w:r w:rsidR="009E27BC">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embryonic</w:t>
      </w:r>
      <w:r w:rsidR="008E0DCE">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stem cell</w:t>
      </w:r>
      <w:r w:rsidR="009E27BC">
        <w:rPr>
          <w:rFonts w:asciiTheme="majorBidi" w:hAnsiTheme="majorBidi" w:cstheme="majorBidi"/>
          <w:sz w:val="24"/>
          <w:szCs w:val="24"/>
          <w:lang w:bidi="ar-IQ"/>
        </w:rPr>
        <w:t xml:space="preserve"> </w:t>
      </w:r>
      <w:r w:rsidR="008E0DCE">
        <w:rPr>
          <w:rFonts w:asciiTheme="majorBidi" w:hAnsiTheme="majorBidi" w:cstheme="majorBidi"/>
          <w:sz w:val="24"/>
          <w:szCs w:val="24"/>
          <w:lang w:bidi="ar-IQ"/>
        </w:rPr>
        <w:t>cul</w:t>
      </w:r>
      <w:r w:rsidR="00DF12CE" w:rsidRPr="00DF12CE">
        <w:rPr>
          <w:rFonts w:asciiTheme="majorBidi" w:hAnsiTheme="majorBidi" w:cstheme="majorBidi"/>
          <w:sz w:val="24"/>
          <w:szCs w:val="24"/>
          <w:lang w:bidi="ar-IQ"/>
        </w:rPr>
        <w:t>tures[J]. ProcNatl</w:t>
      </w:r>
      <w:r w:rsidR="008E0DCE">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A</w:t>
      </w:r>
      <w:r w:rsidR="008E0DCE">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cad</w:t>
      </w:r>
      <w:r w:rsidR="008E0DCE">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Sci</w:t>
      </w:r>
      <w:r w:rsidR="008E0DCE">
        <w:rPr>
          <w:rFonts w:asciiTheme="majorBidi" w:hAnsiTheme="majorBidi" w:cstheme="majorBidi"/>
          <w:sz w:val="24"/>
          <w:szCs w:val="24"/>
          <w:lang w:bidi="ar-IQ"/>
        </w:rPr>
        <w:t xml:space="preserve"> </w:t>
      </w:r>
      <w:r w:rsidR="00DF12CE" w:rsidRPr="00DF12CE">
        <w:rPr>
          <w:rFonts w:asciiTheme="majorBidi" w:hAnsiTheme="majorBidi" w:cstheme="majorBidi"/>
          <w:sz w:val="24"/>
          <w:szCs w:val="24"/>
          <w:lang w:bidi="ar-IQ"/>
        </w:rPr>
        <w:t>USA, 2011, 108(39): 16277-16282. DOI: 10.1073/pnas. 1110286108</w:t>
      </w:r>
      <w:r w:rsidR="00DF12CE" w:rsidRPr="00DF12CE">
        <w:rPr>
          <w:rFonts w:asciiTheme="majorBidi" w:hAnsiTheme="majorBidi" w:cs="Times New Roman"/>
          <w:sz w:val="24"/>
          <w:szCs w:val="24"/>
          <w:rtl/>
          <w:lang w:bidi="ar-IQ"/>
        </w:rPr>
        <w:t>.</w:t>
      </w:r>
    </w:p>
    <w:p w14:paraId="297FC797" w14:textId="77777777" w:rsidR="00286C05" w:rsidRDefault="00DF12CE" w:rsidP="00C6263D">
      <w:pPr>
        <w:bidi w:val="0"/>
        <w:jc w:val="both"/>
        <w:rPr>
          <w:rFonts w:asciiTheme="majorBidi" w:hAnsiTheme="majorBidi" w:cstheme="majorBidi"/>
          <w:sz w:val="24"/>
          <w:szCs w:val="24"/>
          <w:lang w:bidi="ar-IQ"/>
        </w:rPr>
      </w:pPr>
      <w:r w:rsidRPr="00DF12CE">
        <w:rPr>
          <w:rFonts w:asciiTheme="majorBidi" w:hAnsiTheme="majorBidi" w:cstheme="majorBidi"/>
          <w:sz w:val="24"/>
          <w:szCs w:val="24"/>
          <w:lang w:bidi="ar-IQ"/>
        </w:rPr>
        <w:t>[3] van Vliet NA, Nordam R, van Klinken JB, et al. Thyroid Stimulating Hormone</w:t>
      </w:r>
      <w:r w:rsidR="009E27BC">
        <w:rPr>
          <w:rFonts w:asciiTheme="majorBidi" w:hAnsiTheme="majorBidi" w:cstheme="majorBidi"/>
          <w:sz w:val="24"/>
          <w:szCs w:val="24"/>
          <w:lang w:bidi="ar-IQ"/>
        </w:rPr>
        <w:t xml:space="preserve"> and Bone Mineral Density: Evi</w:t>
      </w:r>
      <w:r w:rsidRPr="00DF12CE">
        <w:rPr>
          <w:rFonts w:asciiTheme="majorBidi" w:hAnsiTheme="majorBidi" w:cstheme="majorBidi"/>
          <w:sz w:val="24"/>
          <w:szCs w:val="24"/>
          <w:lang w:bidi="ar-IQ"/>
        </w:rPr>
        <w:t>dence</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From a</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Two Sample</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Mendelian</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Randomization Study</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and</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a</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Candidate</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Gene</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Association</w:t>
      </w:r>
      <w:r w:rsidR="009E27BC">
        <w:rPr>
          <w:rFonts w:asciiTheme="majorBidi" w:hAnsiTheme="majorBidi" w:cstheme="majorBidi"/>
          <w:sz w:val="24"/>
          <w:szCs w:val="24"/>
          <w:lang w:bidi="ar-IQ"/>
        </w:rPr>
        <w:t xml:space="preserve"> </w:t>
      </w:r>
      <w:r w:rsidRPr="00DF12CE">
        <w:rPr>
          <w:rFonts w:asciiTheme="majorBidi" w:hAnsiTheme="majorBidi" w:cstheme="majorBidi"/>
          <w:sz w:val="24"/>
          <w:szCs w:val="24"/>
          <w:lang w:bidi="ar-IQ"/>
        </w:rPr>
        <w:t>Study[J]. J Bone Miner Res, 2018, 33(7): 1318-1325. DOI: 10. 1002/jbmr. 3426.</w:t>
      </w:r>
    </w:p>
    <w:p w14:paraId="2618B42A" w14:textId="77777777" w:rsidR="007F7A64" w:rsidRPr="007F7A64" w:rsidRDefault="007F7A64"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[4] </w:t>
      </w:r>
      <w:r w:rsidRPr="007F7A64">
        <w:rPr>
          <w:rFonts w:asciiTheme="majorBidi" w:hAnsiTheme="majorBidi" w:cstheme="majorBidi"/>
          <w:sz w:val="24"/>
          <w:szCs w:val="24"/>
          <w:lang w:bidi="ar-IQ"/>
        </w:rPr>
        <w:t xml:space="preserve">Jin Yunyun, Ding Xuesuo. Correlation between hypothyroidism and bone mineral density in middle-aged and elderly women Correlation analysis [J]. Marker </w:t>
      </w:r>
      <w:r w:rsidRPr="007F7A64">
        <w:rPr>
          <w:rFonts w:asciiTheme="majorBidi" w:hAnsiTheme="majorBidi" w:cstheme="majorBidi"/>
          <w:sz w:val="24"/>
          <w:szCs w:val="24"/>
          <w:lang w:bidi="ar-IQ"/>
        </w:rPr>
        <w:lastRenderedPageBreak/>
        <w:t>Immunoassay and Clinical, 2018, 25(4): 454-456, 486. DOI: 10.11748/bjmy. issn. 1006-1703. 2018.04.003</w:t>
      </w:r>
      <w:r w:rsidRPr="007F7A64">
        <w:rPr>
          <w:rFonts w:asciiTheme="majorBidi" w:hAnsiTheme="majorBidi" w:cs="Times New Roman"/>
          <w:sz w:val="24"/>
          <w:szCs w:val="24"/>
          <w:rtl/>
          <w:lang w:bidi="ar-IQ"/>
        </w:rPr>
        <w:t>.</w:t>
      </w:r>
    </w:p>
    <w:p w14:paraId="1CC46D9A" w14:textId="77777777" w:rsidR="007F7A64" w:rsidRPr="007F7A64" w:rsidRDefault="007F7A64"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w:t>
      </w:r>
      <w:r>
        <w:rPr>
          <w:rFonts w:asciiTheme="majorBidi" w:hAnsiTheme="majorBidi" w:cs="Times New Roman"/>
          <w:sz w:val="24"/>
          <w:szCs w:val="24"/>
          <w:lang w:bidi="ar-IQ"/>
        </w:rPr>
        <w:t>5</w:t>
      </w:r>
      <w:r>
        <w:rPr>
          <w:rFonts w:asciiTheme="majorBidi" w:hAnsiTheme="majorBidi" w:cstheme="majorBidi"/>
          <w:sz w:val="24"/>
          <w:szCs w:val="24"/>
          <w:lang w:bidi="ar-IQ"/>
        </w:rPr>
        <w:t>]</w:t>
      </w:r>
      <w:r>
        <w:rPr>
          <w:rFonts w:asciiTheme="majorBidi" w:hAnsiTheme="majorBidi" w:cs="Times New Roman"/>
          <w:sz w:val="24"/>
          <w:szCs w:val="24"/>
          <w:lang w:bidi="ar-IQ"/>
        </w:rPr>
        <w:t xml:space="preserve"> </w:t>
      </w:r>
      <w:r w:rsidRPr="007F7A64">
        <w:rPr>
          <w:rFonts w:asciiTheme="majorBidi" w:hAnsiTheme="majorBidi" w:cstheme="majorBidi"/>
          <w:sz w:val="24"/>
          <w:szCs w:val="24"/>
          <w:lang w:bidi="ar-IQ"/>
        </w:rPr>
        <w:t>Waring AC, Harrison S, Fink HA, et al. A</w:t>
      </w:r>
      <w:r w:rsidR="009E27BC">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spective study of thyroid functio</w:t>
      </w:r>
      <w:r w:rsidR="009E27BC">
        <w:rPr>
          <w:rFonts w:asciiTheme="majorBidi" w:hAnsiTheme="majorBidi" w:cstheme="majorBidi"/>
          <w:sz w:val="24"/>
          <w:szCs w:val="24"/>
          <w:lang w:bidi="ar-IQ"/>
        </w:rPr>
        <w:t xml:space="preserve">n, bone </w:t>
      </w:r>
      <w:r w:rsidR="008E0DCE">
        <w:rPr>
          <w:rFonts w:asciiTheme="majorBidi" w:hAnsiTheme="majorBidi" w:cstheme="majorBidi"/>
          <w:sz w:val="24"/>
          <w:szCs w:val="24"/>
          <w:lang w:bidi="ar-IQ"/>
        </w:rPr>
        <w:t>loss, and fractures in ol</w:t>
      </w:r>
      <w:r w:rsidRPr="007F7A64">
        <w:rPr>
          <w:rFonts w:asciiTheme="majorBidi" w:hAnsiTheme="majorBidi" w:cstheme="majorBidi"/>
          <w:sz w:val="24"/>
          <w:szCs w:val="24"/>
          <w:lang w:bidi="ar-IQ"/>
        </w:rPr>
        <w:t>der</w:t>
      </w:r>
      <w:r w:rsidR="008E0DCE">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men: The</w:t>
      </w:r>
      <w:r w:rsidR="009E27BC">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Mr</w:t>
      </w:r>
      <w:r w:rsidR="009E27BC">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OS</w:t>
      </w:r>
      <w:r w:rsidR="009E27BC">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study[J]. J</w:t>
      </w:r>
      <w:r w:rsidR="009E27BC">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Bone Miner Res, 2013, 28</w:t>
      </w:r>
      <w:r w:rsidR="009E27BC">
        <w:rPr>
          <w:rFonts w:asciiTheme="majorBidi" w:hAnsiTheme="majorBidi" w:cstheme="majorBidi"/>
          <w:sz w:val="24"/>
          <w:szCs w:val="24"/>
          <w:lang w:bidi="ar-IQ"/>
        </w:rPr>
        <w:t>(3):472-479. DOI: 10.1002/jbmr.</w:t>
      </w:r>
      <w:r w:rsidRPr="007F7A64">
        <w:rPr>
          <w:rFonts w:asciiTheme="majorBidi" w:hAnsiTheme="majorBidi" w:cstheme="majorBidi"/>
          <w:sz w:val="24"/>
          <w:szCs w:val="24"/>
          <w:lang w:bidi="ar-IQ"/>
        </w:rPr>
        <w:t>1774</w:t>
      </w:r>
      <w:r w:rsidRPr="007F7A64">
        <w:rPr>
          <w:rFonts w:asciiTheme="majorBidi" w:hAnsiTheme="majorBidi" w:cs="Times New Roman"/>
          <w:sz w:val="24"/>
          <w:szCs w:val="24"/>
          <w:rtl/>
          <w:lang w:bidi="ar-IQ"/>
        </w:rPr>
        <w:t>.</w:t>
      </w:r>
    </w:p>
    <w:p w14:paraId="36AD6538" w14:textId="77777777" w:rsidR="007F7A64" w:rsidRPr="007F7A64" w:rsidRDefault="007F7A64"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[6] </w:t>
      </w:r>
      <w:r w:rsidRPr="007F7A64">
        <w:rPr>
          <w:rFonts w:asciiTheme="majorBidi" w:hAnsiTheme="majorBidi" w:cstheme="majorBidi"/>
          <w:sz w:val="24"/>
          <w:szCs w:val="24"/>
          <w:lang w:bidi="ar-IQ"/>
        </w:rPr>
        <w:t xml:space="preserve">Jamal SA, Leiter RE, Bayoumi AM, et al. </w:t>
      </w:r>
      <w:r w:rsidR="009E27BC" w:rsidRPr="007F7A64">
        <w:rPr>
          <w:rFonts w:asciiTheme="majorBidi" w:hAnsiTheme="majorBidi" w:cstheme="majorBidi"/>
          <w:sz w:val="24"/>
          <w:szCs w:val="24"/>
          <w:lang w:bidi="ar-IQ"/>
        </w:rPr>
        <w:t>Criticality</w:t>
      </w:r>
      <w:r w:rsidRPr="007F7A64">
        <w:rPr>
          <w:rFonts w:asciiTheme="majorBidi" w:hAnsiTheme="majorBidi" w:cstheme="majorBidi"/>
          <w:sz w:val="24"/>
          <w:szCs w:val="24"/>
          <w:lang w:bidi="ar-IQ"/>
        </w:rPr>
        <w:t xml:space="preserve"> Of laboratory testing in women with host eoporosis</w:t>
      </w:r>
      <w:r w:rsidR="009E27BC">
        <w:rPr>
          <w:rFonts w:asciiTheme="majorBidi" w:hAnsiTheme="majorBidi" w:cstheme="majorBidi"/>
          <w:sz w:val="24"/>
          <w:szCs w:val="24"/>
          <w:lang w:bidi="ar-IQ"/>
        </w:rPr>
        <w:t xml:space="preserve"> [J]. Osteoporos</w:t>
      </w:r>
      <w:r w:rsidRPr="007F7A64">
        <w:rPr>
          <w:rFonts w:asciiTheme="majorBidi" w:hAnsiTheme="majorBidi" w:cstheme="majorBidi"/>
          <w:sz w:val="24"/>
          <w:szCs w:val="24"/>
          <w:lang w:bidi="ar-IQ"/>
        </w:rPr>
        <w:t xml:space="preserve"> Int, 2005, 16(5): 534-540. DOI: 10.1007/ s00198-004-1718-y</w:t>
      </w:r>
      <w:r w:rsidRPr="007F7A64">
        <w:rPr>
          <w:rFonts w:asciiTheme="majorBidi" w:hAnsiTheme="majorBidi" w:cs="Times New Roman"/>
          <w:sz w:val="24"/>
          <w:szCs w:val="24"/>
          <w:rtl/>
          <w:lang w:bidi="ar-IQ"/>
        </w:rPr>
        <w:t>.</w:t>
      </w:r>
    </w:p>
    <w:p w14:paraId="3510D8A1" w14:textId="77777777" w:rsidR="007F7A64" w:rsidRDefault="007F7A64" w:rsidP="00C6263D">
      <w:pPr>
        <w:bidi w:val="0"/>
        <w:jc w:val="both"/>
        <w:rPr>
          <w:rFonts w:asciiTheme="majorBidi" w:hAnsiTheme="majorBidi" w:cstheme="majorBidi"/>
          <w:sz w:val="24"/>
          <w:szCs w:val="24"/>
          <w:lang w:bidi="ar-IQ"/>
        </w:rPr>
      </w:pPr>
      <w:r w:rsidRPr="007F7A64">
        <w:rPr>
          <w:rFonts w:asciiTheme="majorBidi" w:hAnsiTheme="majorBidi" w:cstheme="majorBidi"/>
          <w:sz w:val="24"/>
          <w:szCs w:val="24"/>
          <w:lang w:bidi="ar-IQ"/>
        </w:rPr>
        <w:t>[7] Reid IR. Short-term</w:t>
      </w:r>
      <w:r w:rsidR="009E27BC">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and</w:t>
      </w:r>
      <w:r w:rsidR="009E27BC">
        <w:rPr>
          <w:rFonts w:asciiTheme="majorBidi" w:hAnsiTheme="majorBidi" w:cstheme="majorBidi"/>
          <w:sz w:val="24"/>
          <w:szCs w:val="24"/>
          <w:lang w:bidi="ar-IQ"/>
        </w:rPr>
        <w:t xml:space="preserve"> </w:t>
      </w:r>
      <w:r w:rsidRPr="007F7A64">
        <w:rPr>
          <w:rFonts w:asciiTheme="majorBidi" w:hAnsiTheme="majorBidi" w:cstheme="majorBidi"/>
          <w:sz w:val="24"/>
          <w:szCs w:val="24"/>
          <w:lang w:bidi="ar-IQ"/>
        </w:rPr>
        <w:t>long-term effects of osteoporosis Therapies[J]. Nat Rev Endocrinol, 2015, 11(7): 418- 428. DOI: 10.1038/nrend</w:t>
      </w:r>
      <w:r w:rsidR="009E27BC">
        <w:rPr>
          <w:rFonts w:asciiTheme="majorBidi" w:hAnsiTheme="majorBidi" w:cstheme="majorBidi"/>
          <w:sz w:val="24"/>
          <w:szCs w:val="24"/>
          <w:lang w:bidi="ar-IQ"/>
        </w:rPr>
        <w:t>o.</w:t>
      </w:r>
      <w:r w:rsidRPr="007F7A64">
        <w:rPr>
          <w:rFonts w:asciiTheme="majorBidi" w:hAnsiTheme="majorBidi" w:cstheme="majorBidi"/>
          <w:sz w:val="24"/>
          <w:szCs w:val="24"/>
          <w:lang w:bidi="ar-IQ"/>
        </w:rPr>
        <w:t>2015.71.</w:t>
      </w:r>
    </w:p>
    <w:p w14:paraId="625376AC" w14:textId="77777777" w:rsidR="00E052C2" w:rsidRDefault="00E052C2" w:rsidP="00C6263D">
      <w:pPr>
        <w:bidi w:val="0"/>
        <w:jc w:val="both"/>
        <w:rPr>
          <w:rFonts w:asciiTheme="majorBidi" w:hAnsiTheme="majorBidi" w:cs="Times New Roman"/>
          <w:sz w:val="24"/>
          <w:szCs w:val="24"/>
          <w:rtl/>
          <w:lang w:bidi="ar-IQ"/>
        </w:rPr>
      </w:pPr>
      <w:r>
        <w:rPr>
          <w:rFonts w:asciiTheme="majorBidi" w:hAnsiTheme="majorBidi" w:cstheme="majorBidi"/>
          <w:sz w:val="24"/>
          <w:szCs w:val="24"/>
          <w:lang w:bidi="ar-IQ"/>
        </w:rPr>
        <w:t>[</w:t>
      </w:r>
      <w:r>
        <w:rPr>
          <w:rFonts w:asciiTheme="majorBidi" w:hAnsiTheme="majorBidi" w:cs="Times New Roman"/>
          <w:sz w:val="24"/>
          <w:szCs w:val="24"/>
          <w:lang w:bidi="ar-IQ"/>
        </w:rPr>
        <w:t>8</w:t>
      </w:r>
      <w:r>
        <w:rPr>
          <w:rFonts w:asciiTheme="majorBidi" w:hAnsiTheme="majorBidi" w:cstheme="majorBidi"/>
          <w:sz w:val="24"/>
          <w:szCs w:val="24"/>
          <w:lang w:bidi="ar-IQ"/>
        </w:rPr>
        <w:t>]</w:t>
      </w:r>
      <w:r>
        <w:rPr>
          <w:rFonts w:asciiTheme="majorBidi" w:hAnsiTheme="majorBidi" w:cs="Times New Roman"/>
          <w:sz w:val="24"/>
          <w:szCs w:val="24"/>
          <w:lang w:bidi="ar-IQ"/>
        </w:rPr>
        <w:t xml:space="preserve"> </w:t>
      </w:r>
      <w:r w:rsidR="007F7A64" w:rsidRPr="007F7A64">
        <w:rPr>
          <w:rFonts w:asciiTheme="majorBidi" w:hAnsiTheme="majorBidi" w:cstheme="majorBidi"/>
          <w:sz w:val="24"/>
          <w:szCs w:val="24"/>
          <w:lang w:bidi="ar-IQ"/>
        </w:rPr>
        <w:t>Vestergaard P, Mosekilde L. Fractures</w:t>
      </w:r>
      <w:r w:rsidR="009E27BC">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in</w:t>
      </w:r>
      <w:r w:rsidR="009E27BC">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patients</w:t>
      </w:r>
      <w:r w:rsidR="009E27BC">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with hyperthyroidism and hypothyroidism:</w:t>
      </w:r>
      <w:r w:rsidR="009E27BC">
        <w:rPr>
          <w:rFonts w:asciiTheme="majorBidi" w:hAnsiTheme="majorBidi" w:cstheme="majorBidi"/>
          <w:sz w:val="24"/>
          <w:szCs w:val="24"/>
          <w:lang w:bidi="ar-IQ"/>
        </w:rPr>
        <w:t xml:space="preserve"> </w:t>
      </w:r>
      <w:r w:rsidR="009E27BC" w:rsidRPr="007F7A64">
        <w:rPr>
          <w:rFonts w:asciiTheme="majorBidi" w:hAnsiTheme="majorBidi" w:cstheme="majorBidi"/>
          <w:sz w:val="24"/>
          <w:szCs w:val="24"/>
          <w:lang w:bidi="ar-IQ"/>
        </w:rPr>
        <w:t>a nation</w:t>
      </w:r>
      <w:r w:rsidR="007F7A64" w:rsidRPr="007F7A64">
        <w:rPr>
          <w:rFonts w:asciiTheme="majorBidi" w:hAnsiTheme="majorBidi" w:cstheme="majorBidi"/>
          <w:sz w:val="24"/>
          <w:szCs w:val="24"/>
          <w:lang w:bidi="ar-IQ"/>
        </w:rPr>
        <w:t>wide</w:t>
      </w:r>
      <w:r w:rsidR="009E27BC">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fol- low-upstudyin16, 249patients[J]. Thyroid, 2002, 12 (5): 411-419. DOI: 10.1089/105072502760043503</w:t>
      </w:r>
    </w:p>
    <w:p w14:paraId="36FC8AB0" w14:textId="77777777" w:rsidR="007F7A64" w:rsidRPr="007F7A64" w:rsidRDefault="00E052C2"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w:t>
      </w:r>
      <w:r>
        <w:rPr>
          <w:rFonts w:asciiTheme="majorBidi" w:hAnsiTheme="majorBidi" w:cs="Times New Roman"/>
          <w:sz w:val="24"/>
          <w:szCs w:val="24"/>
          <w:lang w:bidi="ar-IQ"/>
        </w:rPr>
        <w:t>9</w:t>
      </w:r>
      <w:r>
        <w:rPr>
          <w:rFonts w:asciiTheme="majorBidi" w:hAnsiTheme="majorBidi" w:cstheme="majorBidi"/>
          <w:sz w:val="24"/>
          <w:szCs w:val="24"/>
          <w:lang w:bidi="ar-IQ"/>
        </w:rPr>
        <w:t>]</w:t>
      </w:r>
      <w:r>
        <w:rPr>
          <w:rFonts w:asciiTheme="majorBidi" w:hAnsiTheme="majorBidi" w:cs="Times New Roman"/>
          <w:sz w:val="24"/>
          <w:szCs w:val="24"/>
          <w:lang w:bidi="ar-IQ"/>
        </w:rPr>
        <w:t xml:space="preserve"> </w:t>
      </w:r>
      <w:r w:rsidR="00A738AB">
        <w:rPr>
          <w:rFonts w:asciiTheme="majorBidi" w:hAnsiTheme="majorBidi" w:cs="Times New Roman"/>
          <w:sz w:val="24"/>
          <w:szCs w:val="24"/>
          <w:lang w:bidi="ar-IQ"/>
        </w:rPr>
        <w:t xml:space="preserve">Mohamed AH, </w:t>
      </w:r>
      <w:r w:rsidR="00A738AB" w:rsidRPr="00A738AB">
        <w:rPr>
          <w:rFonts w:asciiTheme="majorBidi" w:hAnsiTheme="majorBidi" w:cstheme="majorBidi"/>
          <w:sz w:val="24"/>
          <w:szCs w:val="24"/>
          <w:lang w:bidi="ar-IQ"/>
        </w:rPr>
        <w:t>ALKHAFAJI</w:t>
      </w:r>
      <w:r w:rsidR="00A738AB">
        <w:rPr>
          <w:rFonts w:asciiTheme="majorBidi" w:hAnsiTheme="majorBidi" w:cstheme="majorBidi"/>
          <w:sz w:val="24"/>
          <w:szCs w:val="24"/>
          <w:lang w:bidi="ar-IQ"/>
        </w:rPr>
        <w:t xml:space="preserve"> RS, Al-Saadi AH. </w:t>
      </w:r>
      <w:r w:rsidR="00A738AB" w:rsidRPr="00A738AB">
        <w:rPr>
          <w:rFonts w:asciiTheme="majorBidi" w:hAnsiTheme="majorBidi" w:cstheme="majorBidi"/>
          <w:sz w:val="24"/>
          <w:szCs w:val="24"/>
          <w:lang w:bidi="ar-IQ"/>
        </w:rPr>
        <w:t>Correlation between vitamin D deficiency and its receptor (FokI-rs2228570) gene polymorphisms in anemic men</w:t>
      </w:r>
      <w:r w:rsidR="00A738AB">
        <w:rPr>
          <w:rFonts w:asciiTheme="majorBidi" w:hAnsiTheme="majorBidi" w:cstheme="majorBidi"/>
          <w:sz w:val="24"/>
          <w:szCs w:val="24"/>
          <w:lang w:bidi="ar-IQ"/>
        </w:rPr>
        <w:t xml:space="preserve">. </w:t>
      </w:r>
      <w:r w:rsidR="00A738AB" w:rsidRPr="00A738AB">
        <w:rPr>
          <w:rFonts w:asciiTheme="majorBidi" w:hAnsiTheme="majorBidi" w:cstheme="majorBidi"/>
          <w:sz w:val="24"/>
          <w:szCs w:val="24"/>
          <w:lang w:bidi="ar-IQ"/>
        </w:rPr>
        <w:t>Iran. J. Ichthyol. (Special issue 2022): 98-103</w:t>
      </w:r>
      <w:r w:rsidR="00A738AB">
        <w:rPr>
          <w:rFonts w:asciiTheme="majorBidi" w:hAnsiTheme="majorBidi" w:cstheme="majorBidi"/>
          <w:sz w:val="24"/>
          <w:szCs w:val="24"/>
          <w:lang w:bidi="ar-IQ"/>
        </w:rPr>
        <w:t>.</w:t>
      </w:r>
    </w:p>
    <w:p w14:paraId="1161527D" w14:textId="77777777" w:rsidR="007F7A64" w:rsidRDefault="00E052C2" w:rsidP="00C6263D">
      <w:pPr>
        <w:bidi w:val="0"/>
        <w:jc w:val="both"/>
        <w:rPr>
          <w:rFonts w:asciiTheme="majorBidi" w:hAnsiTheme="majorBidi" w:cstheme="majorBidi"/>
          <w:sz w:val="24"/>
          <w:szCs w:val="24"/>
          <w:lang w:bidi="ar-IQ"/>
        </w:rPr>
      </w:pPr>
      <w:r w:rsidRPr="007F7A64">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[10] Segna D, Bauer DC, Feller M, et al. Association</w:t>
      </w:r>
      <w:r w:rsidR="009E27BC">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between subclinical thyroid dysfunction and change</w:t>
      </w:r>
      <w:r w:rsidR="009E27BC">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in bone mineral density in prospective cohorts[J]. J Intern</w:t>
      </w:r>
      <w:r>
        <w:rPr>
          <w:rFonts w:asciiTheme="majorBidi" w:hAnsiTheme="majorBidi" w:cstheme="majorBidi"/>
          <w:sz w:val="24"/>
          <w:szCs w:val="24"/>
          <w:lang w:bidi="ar-IQ"/>
        </w:rPr>
        <w:t xml:space="preserve"> </w:t>
      </w:r>
      <w:r w:rsidR="007F7A64" w:rsidRPr="007F7A64">
        <w:rPr>
          <w:rFonts w:asciiTheme="majorBidi" w:hAnsiTheme="majorBidi" w:cstheme="majorBidi"/>
          <w:sz w:val="24"/>
          <w:szCs w:val="24"/>
          <w:lang w:bidi="ar-IQ"/>
        </w:rPr>
        <w:t>Med, 2018, 2</w:t>
      </w:r>
      <w:r w:rsidR="009E27BC">
        <w:rPr>
          <w:rFonts w:asciiTheme="majorBidi" w:hAnsiTheme="majorBidi" w:cstheme="majorBidi"/>
          <w:sz w:val="24"/>
          <w:szCs w:val="24"/>
          <w:lang w:bidi="ar-IQ"/>
        </w:rPr>
        <w:t>83(1):56-72. DOI: 10.1111/joim.</w:t>
      </w:r>
      <w:r w:rsidR="007F7A64" w:rsidRPr="007F7A64">
        <w:rPr>
          <w:rFonts w:asciiTheme="majorBidi" w:hAnsiTheme="majorBidi" w:cstheme="majorBidi"/>
          <w:sz w:val="24"/>
          <w:szCs w:val="24"/>
          <w:lang w:bidi="ar-IQ"/>
        </w:rPr>
        <w:t>12688.</w:t>
      </w:r>
    </w:p>
    <w:p w14:paraId="5DA64300" w14:textId="77777777" w:rsidR="00E052C2" w:rsidRPr="00E052C2" w:rsidRDefault="00E052C2"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[11] </w:t>
      </w:r>
      <w:r w:rsidRPr="00E052C2">
        <w:rPr>
          <w:rFonts w:asciiTheme="majorBidi" w:hAnsiTheme="majorBidi" w:cstheme="majorBidi"/>
          <w:sz w:val="24"/>
          <w:szCs w:val="24"/>
          <w:lang w:bidi="ar-IQ"/>
        </w:rPr>
        <w:t>Moon JH, Kim KM, Oh</w:t>
      </w:r>
      <w:r w:rsidR="0037472A">
        <w:rPr>
          <w:rFonts w:asciiTheme="majorBidi" w:hAnsiTheme="majorBidi" w:cstheme="majorBidi"/>
          <w:sz w:val="24"/>
          <w:szCs w:val="24"/>
          <w:lang w:bidi="ar-IQ"/>
        </w:rPr>
        <w:t xml:space="preserve"> </w:t>
      </w:r>
      <w:r w:rsidRPr="00E052C2">
        <w:rPr>
          <w:rFonts w:asciiTheme="majorBidi" w:hAnsiTheme="majorBidi" w:cstheme="majorBidi"/>
          <w:sz w:val="24"/>
          <w:szCs w:val="24"/>
          <w:lang w:bidi="ar-IQ"/>
        </w:rPr>
        <w:t>TJ</w:t>
      </w:r>
      <w:r w:rsidR="0037472A">
        <w:rPr>
          <w:rFonts w:asciiTheme="majorBidi" w:hAnsiTheme="majorBidi" w:cstheme="majorBidi"/>
          <w:sz w:val="24"/>
          <w:szCs w:val="24"/>
          <w:lang w:bidi="ar-IQ"/>
        </w:rPr>
        <w:t>, et al. The effect of TSH supp</w:t>
      </w:r>
      <w:r w:rsidR="0037472A" w:rsidRPr="00E052C2">
        <w:rPr>
          <w:rFonts w:asciiTheme="majorBidi" w:hAnsiTheme="majorBidi" w:cstheme="majorBidi"/>
          <w:sz w:val="24"/>
          <w:szCs w:val="24"/>
          <w:lang w:bidi="ar-IQ"/>
        </w:rPr>
        <w:t>ression</w:t>
      </w:r>
      <w:r w:rsidR="009E27BC">
        <w:rPr>
          <w:rFonts w:asciiTheme="majorBidi" w:hAnsiTheme="majorBidi" w:cstheme="majorBidi"/>
          <w:sz w:val="24"/>
          <w:szCs w:val="24"/>
          <w:lang w:bidi="ar-IQ"/>
        </w:rPr>
        <w:t xml:space="preserve"> on vertebral trabecular bones </w:t>
      </w:r>
      <w:r w:rsidRPr="00E052C2">
        <w:rPr>
          <w:rFonts w:asciiTheme="majorBidi" w:hAnsiTheme="majorBidi" w:cstheme="majorBidi"/>
          <w:sz w:val="24"/>
          <w:szCs w:val="24"/>
          <w:lang w:bidi="ar-IQ"/>
        </w:rPr>
        <w:t>coresin patients With differentiated thyroid carcinom</w:t>
      </w:r>
      <w:r w:rsidR="0037472A">
        <w:rPr>
          <w:rFonts w:asciiTheme="majorBidi" w:hAnsiTheme="majorBidi" w:cstheme="majorBidi"/>
          <w:sz w:val="24"/>
          <w:szCs w:val="24"/>
          <w:lang w:bidi="ar-IQ"/>
        </w:rPr>
        <w:t>a [J]. J Clin Endocri</w:t>
      </w:r>
      <w:r w:rsidRPr="00E052C2">
        <w:rPr>
          <w:rFonts w:asciiTheme="majorBidi" w:hAnsiTheme="majorBidi" w:cstheme="majorBidi"/>
          <w:sz w:val="24"/>
          <w:szCs w:val="24"/>
          <w:lang w:bidi="ar-IQ"/>
        </w:rPr>
        <w:t>nol</w:t>
      </w:r>
      <w:r w:rsidR="0037472A">
        <w:rPr>
          <w:rFonts w:asciiTheme="majorBidi" w:hAnsiTheme="majorBidi" w:cstheme="majorBidi"/>
          <w:sz w:val="24"/>
          <w:szCs w:val="24"/>
          <w:lang w:bidi="ar-IQ"/>
        </w:rPr>
        <w:t xml:space="preserve"> </w:t>
      </w:r>
      <w:r w:rsidRPr="00E052C2">
        <w:rPr>
          <w:rFonts w:asciiTheme="majorBidi" w:hAnsiTheme="majorBidi" w:cstheme="majorBidi"/>
          <w:sz w:val="24"/>
          <w:szCs w:val="24"/>
          <w:lang w:bidi="ar-IQ"/>
        </w:rPr>
        <w:t>Metab, 2017, 102(1): 78-85. DOI: 10.1210/jc. 2016-2740</w:t>
      </w:r>
      <w:r w:rsidRPr="00E052C2">
        <w:rPr>
          <w:rFonts w:asciiTheme="majorBidi" w:hAnsiTheme="majorBidi" w:cs="Times New Roman"/>
          <w:sz w:val="24"/>
          <w:szCs w:val="24"/>
          <w:rtl/>
          <w:lang w:bidi="ar-IQ"/>
        </w:rPr>
        <w:t>.</w:t>
      </w:r>
    </w:p>
    <w:p w14:paraId="4E653CAD" w14:textId="77777777" w:rsidR="00E052C2" w:rsidRPr="00E052C2" w:rsidRDefault="00E052C2"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[12] </w:t>
      </w:r>
      <w:r w:rsidRPr="00E052C2">
        <w:rPr>
          <w:rFonts w:asciiTheme="majorBidi" w:hAnsiTheme="majorBidi" w:cstheme="majorBidi"/>
          <w:sz w:val="24"/>
          <w:szCs w:val="24"/>
          <w:lang w:bidi="ar-IQ"/>
        </w:rPr>
        <w:t>Liao Eryuan. Endocrinology and Metabolism [M]. Beijing: People's Health Publishing House, 2012:1628-1706</w:t>
      </w:r>
      <w:r w:rsidRPr="00E052C2">
        <w:rPr>
          <w:rFonts w:asciiTheme="majorBidi" w:hAnsiTheme="majorBidi" w:cs="Times New Roman"/>
          <w:sz w:val="24"/>
          <w:szCs w:val="24"/>
          <w:rtl/>
          <w:lang w:bidi="ar-IQ"/>
        </w:rPr>
        <w:t>.</w:t>
      </w:r>
    </w:p>
    <w:p w14:paraId="1CD5A559" w14:textId="77777777" w:rsidR="00E052C2" w:rsidRPr="00E052C2" w:rsidRDefault="00E052C2"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[13] </w:t>
      </w:r>
      <w:r w:rsidRPr="00E052C2">
        <w:rPr>
          <w:rFonts w:asciiTheme="majorBidi" w:hAnsiTheme="majorBidi" w:cstheme="majorBidi"/>
          <w:sz w:val="24"/>
          <w:szCs w:val="24"/>
          <w:lang w:bidi="ar-IQ"/>
        </w:rPr>
        <w:t>Zaidi M, Davis TF, Zallone A, et al. Thyroid-stimulating hormone, thyroid hormo</w:t>
      </w:r>
      <w:r w:rsidR="0037472A">
        <w:rPr>
          <w:rFonts w:asciiTheme="majorBidi" w:hAnsiTheme="majorBidi" w:cstheme="majorBidi"/>
          <w:sz w:val="24"/>
          <w:szCs w:val="24"/>
          <w:lang w:bidi="ar-IQ"/>
        </w:rPr>
        <w:t>nes, and bone loss [J]. CurrOs-</w:t>
      </w:r>
      <w:r w:rsidRPr="00E052C2">
        <w:rPr>
          <w:rFonts w:asciiTheme="majorBidi" w:hAnsiTheme="majorBidi" w:cstheme="majorBidi"/>
          <w:sz w:val="24"/>
          <w:szCs w:val="24"/>
          <w:lang w:bidi="ar-IQ"/>
        </w:rPr>
        <w:t>teoporos Rep, 2009, 7(2): 47-52</w:t>
      </w:r>
      <w:r w:rsidRPr="00E052C2">
        <w:rPr>
          <w:rFonts w:asciiTheme="majorBidi" w:hAnsiTheme="majorBidi" w:cs="Times New Roman"/>
          <w:sz w:val="24"/>
          <w:szCs w:val="24"/>
          <w:rtl/>
          <w:lang w:bidi="ar-IQ"/>
        </w:rPr>
        <w:t>.</w:t>
      </w:r>
    </w:p>
    <w:p w14:paraId="4B34FB68" w14:textId="77777777" w:rsidR="00E052C2" w:rsidRPr="00E052C2" w:rsidRDefault="00E052C2"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[14] </w:t>
      </w:r>
      <w:r w:rsidRPr="00E052C2">
        <w:rPr>
          <w:rFonts w:asciiTheme="majorBidi" w:hAnsiTheme="majorBidi" w:cstheme="majorBidi"/>
          <w:sz w:val="24"/>
          <w:szCs w:val="24"/>
          <w:lang w:bidi="ar-IQ"/>
        </w:rPr>
        <w:t>Busuttil BE, Frauman AG. TSH receiver expression Cardiac</w:t>
      </w:r>
      <w:r w:rsidR="0037472A">
        <w:rPr>
          <w:rFonts w:asciiTheme="majorBidi" w:hAnsiTheme="majorBidi" w:cstheme="majorBidi"/>
          <w:sz w:val="24"/>
          <w:szCs w:val="24"/>
          <w:lang w:bidi="ar-IQ"/>
        </w:rPr>
        <w:t xml:space="preserve"> </w:t>
      </w:r>
      <w:r w:rsidRPr="00E052C2">
        <w:rPr>
          <w:rFonts w:asciiTheme="majorBidi" w:hAnsiTheme="majorBidi" w:cstheme="majorBidi"/>
          <w:sz w:val="24"/>
          <w:szCs w:val="24"/>
          <w:lang w:bidi="ar-IQ"/>
        </w:rPr>
        <w:t>muscle</w:t>
      </w:r>
      <w:r w:rsidR="0037472A">
        <w:rPr>
          <w:rFonts w:asciiTheme="majorBidi" w:hAnsiTheme="majorBidi" w:cstheme="majorBidi"/>
          <w:sz w:val="24"/>
          <w:szCs w:val="24"/>
          <w:lang w:bidi="ar-IQ"/>
        </w:rPr>
        <w:t xml:space="preserve"> </w:t>
      </w:r>
      <w:r w:rsidRPr="00E052C2">
        <w:rPr>
          <w:rFonts w:asciiTheme="majorBidi" w:hAnsiTheme="majorBidi" w:cstheme="majorBidi"/>
          <w:sz w:val="24"/>
          <w:szCs w:val="24"/>
          <w:lang w:bidi="ar-IQ"/>
        </w:rPr>
        <w:t>tissue[J]. J</w:t>
      </w:r>
      <w:r w:rsidR="0037472A">
        <w:rPr>
          <w:rFonts w:asciiTheme="majorBidi" w:hAnsiTheme="majorBidi" w:cstheme="majorBidi"/>
          <w:sz w:val="24"/>
          <w:szCs w:val="24"/>
          <w:lang w:bidi="ar-IQ"/>
        </w:rPr>
        <w:t xml:space="preserve"> </w:t>
      </w:r>
      <w:r w:rsidRPr="00E052C2">
        <w:rPr>
          <w:rFonts w:asciiTheme="majorBidi" w:hAnsiTheme="majorBidi" w:cstheme="majorBidi"/>
          <w:sz w:val="24"/>
          <w:szCs w:val="24"/>
          <w:lang w:bidi="ar-IQ"/>
        </w:rPr>
        <w:t>Clin Endocrinol</w:t>
      </w:r>
      <w:r w:rsidR="0037472A">
        <w:rPr>
          <w:rFonts w:asciiTheme="majorBidi" w:hAnsiTheme="majorBidi" w:cstheme="majorBidi"/>
          <w:sz w:val="24"/>
          <w:szCs w:val="24"/>
          <w:lang w:bidi="ar-IQ"/>
        </w:rPr>
        <w:t xml:space="preserve"> </w:t>
      </w:r>
      <w:r w:rsidRPr="00E052C2">
        <w:rPr>
          <w:rFonts w:asciiTheme="majorBidi" w:hAnsiTheme="majorBidi" w:cstheme="majorBidi"/>
          <w:sz w:val="24"/>
          <w:szCs w:val="24"/>
          <w:lang w:bidi="ar-IQ"/>
        </w:rPr>
        <w:t>Metab, 2002, 87(6): 2994</w:t>
      </w:r>
      <w:r w:rsidRPr="00E052C2">
        <w:rPr>
          <w:rFonts w:asciiTheme="majorBidi" w:hAnsiTheme="majorBidi" w:cs="Times New Roman"/>
          <w:sz w:val="24"/>
          <w:szCs w:val="24"/>
          <w:rtl/>
          <w:lang w:bidi="ar-IQ"/>
        </w:rPr>
        <w:t>.</w:t>
      </w:r>
    </w:p>
    <w:p w14:paraId="4A9DA7D6" w14:textId="77777777" w:rsidR="00982172" w:rsidRDefault="00EF75F1" w:rsidP="00C6263D">
      <w:pPr>
        <w:bidi w:val="0"/>
        <w:jc w:val="both"/>
        <w:rPr>
          <w:rFonts w:asciiTheme="majorBidi" w:hAnsiTheme="majorBidi" w:cstheme="majorBidi"/>
          <w:sz w:val="24"/>
          <w:szCs w:val="24"/>
          <w:lang w:bidi="ar-IQ"/>
        </w:rPr>
      </w:pPr>
      <w:r>
        <w:rPr>
          <w:rFonts w:ascii="Times New Roman" w:hAnsi="Times New Roman" w:cs="Times New Roman"/>
          <w:sz w:val="24"/>
          <w:szCs w:val="24"/>
          <w:lang w:bidi="ar-IQ"/>
        </w:rPr>
        <w:t xml:space="preserve">[15] </w:t>
      </w:r>
      <w:r w:rsidR="00982172" w:rsidRPr="00982172">
        <w:rPr>
          <w:rFonts w:asciiTheme="majorBidi" w:hAnsiTheme="majorBidi" w:cstheme="majorBidi"/>
          <w:sz w:val="24"/>
          <w:szCs w:val="24"/>
          <w:lang w:bidi="ar-IQ"/>
        </w:rPr>
        <w:t>Zaidan HK and Mohamed AH (2018) Neurotrophic factors determination of type II diabetic peripheral neuropathy patients. Biochem. Cell. Arch.,18( 2): 2051-2059.</w:t>
      </w:r>
    </w:p>
    <w:p w14:paraId="1D3C9B87" w14:textId="77777777" w:rsidR="00E052C2" w:rsidRPr="00E052C2" w:rsidRDefault="00EF75F1"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[16] </w:t>
      </w:r>
      <w:r w:rsidR="00E052C2" w:rsidRPr="00E052C2">
        <w:rPr>
          <w:rFonts w:asciiTheme="majorBidi" w:hAnsiTheme="majorBidi" w:cstheme="majorBidi"/>
          <w:sz w:val="24"/>
          <w:szCs w:val="24"/>
          <w:lang w:bidi="ar-IQ"/>
        </w:rPr>
        <w:t>Stadlmayr</w:t>
      </w:r>
      <w:r w:rsidR="0037472A">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W, Spitzweg</w:t>
      </w:r>
      <w:r w:rsidR="0037472A">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C, Bichlmair</w:t>
      </w:r>
      <w:r w:rsidR="0037472A">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AM, et al. TSH</w:t>
      </w:r>
      <w:r w:rsidR="0037472A">
        <w:rPr>
          <w:rFonts w:asciiTheme="majorBidi" w:hAnsiTheme="majorBidi" w:cstheme="majorBidi"/>
          <w:sz w:val="24"/>
          <w:szCs w:val="24"/>
          <w:lang w:bidi="ar-IQ"/>
        </w:rPr>
        <w:t xml:space="preserve"> recept</w:t>
      </w:r>
      <w:r w:rsidR="00E052C2" w:rsidRPr="00E052C2">
        <w:rPr>
          <w:rFonts w:asciiTheme="majorBidi" w:hAnsiTheme="majorBidi" w:cstheme="majorBidi"/>
          <w:sz w:val="24"/>
          <w:szCs w:val="24"/>
          <w:lang w:bidi="ar-IQ"/>
        </w:rPr>
        <w:t xml:space="preserve">or </w:t>
      </w:r>
      <w:r w:rsidR="0037472A" w:rsidRPr="00E052C2">
        <w:rPr>
          <w:rFonts w:asciiTheme="majorBidi" w:hAnsiTheme="majorBidi" w:cstheme="majorBidi"/>
          <w:sz w:val="24"/>
          <w:szCs w:val="24"/>
          <w:lang w:bidi="ar-IQ"/>
        </w:rPr>
        <w:t>transcripts</w:t>
      </w:r>
      <w:r w:rsidR="00E052C2" w:rsidRPr="00E052C2">
        <w:rPr>
          <w:rFonts w:asciiTheme="majorBidi" w:hAnsiTheme="majorBidi" w:cstheme="majorBidi"/>
          <w:sz w:val="24"/>
          <w:szCs w:val="24"/>
          <w:lang w:bidi="ar-IQ"/>
        </w:rPr>
        <w:t xml:space="preserve"> and TSH</w:t>
      </w:r>
      <w:r w:rsidR="0037472A">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 xml:space="preserve">receptor-like </w:t>
      </w:r>
      <w:r w:rsidR="0037472A">
        <w:rPr>
          <w:rFonts w:asciiTheme="majorBidi" w:hAnsiTheme="majorBidi" w:cstheme="majorBidi"/>
          <w:sz w:val="24"/>
          <w:szCs w:val="24"/>
          <w:lang w:bidi="ar-IQ"/>
        </w:rPr>
        <w:t>immune-reactivi</w:t>
      </w:r>
      <w:r w:rsidR="00E052C2" w:rsidRPr="00E052C2">
        <w:rPr>
          <w:rFonts w:asciiTheme="majorBidi" w:hAnsiTheme="majorBidi" w:cstheme="majorBidi"/>
          <w:sz w:val="24"/>
          <w:szCs w:val="24"/>
          <w:lang w:bidi="ar-IQ"/>
        </w:rPr>
        <w:t>ty in orbital and pretibial fibroblasts of</w:t>
      </w:r>
      <w:r w:rsidR="0037472A">
        <w:rPr>
          <w:rFonts w:asciiTheme="majorBidi" w:hAnsiTheme="majorBidi" w:cstheme="majorBidi"/>
          <w:sz w:val="24"/>
          <w:szCs w:val="24"/>
          <w:lang w:bidi="ar-IQ"/>
        </w:rPr>
        <w:t xml:space="preserve"> patients with Graves' ophthalmo</w:t>
      </w:r>
      <w:r w:rsidR="00E052C2" w:rsidRPr="00E052C2">
        <w:rPr>
          <w:rFonts w:asciiTheme="majorBidi" w:hAnsiTheme="majorBidi" w:cstheme="majorBidi"/>
          <w:sz w:val="24"/>
          <w:szCs w:val="24"/>
          <w:lang w:bidi="ar-IQ"/>
        </w:rPr>
        <w:t>pathy and pretibial myxedema [J].Thyroid, 1997, 7(1):3-12. DOI: 10.1089/thy. 1997.7.3</w:t>
      </w:r>
      <w:r w:rsidR="00E052C2" w:rsidRPr="00E052C2">
        <w:rPr>
          <w:rFonts w:asciiTheme="majorBidi" w:hAnsiTheme="majorBidi" w:cs="Times New Roman"/>
          <w:sz w:val="24"/>
          <w:szCs w:val="24"/>
          <w:rtl/>
          <w:lang w:bidi="ar-IQ"/>
        </w:rPr>
        <w:t>.</w:t>
      </w:r>
    </w:p>
    <w:p w14:paraId="39275B44" w14:textId="77777777" w:rsidR="00E052C2" w:rsidRPr="00E052C2" w:rsidRDefault="00EF75F1" w:rsidP="00C6263D">
      <w:pPr>
        <w:bidi w:val="0"/>
        <w:jc w:val="both"/>
        <w:rPr>
          <w:rFonts w:asciiTheme="majorBidi" w:hAnsiTheme="majorBidi" w:cstheme="majorBidi"/>
          <w:sz w:val="24"/>
          <w:szCs w:val="24"/>
          <w:lang w:bidi="ar-IQ"/>
        </w:rPr>
      </w:pPr>
      <w:r>
        <w:rPr>
          <w:rFonts w:ascii="Times New Roman" w:hAnsi="Times New Roman" w:cs="Times New Roman"/>
          <w:sz w:val="24"/>
          <w:szCs w:val="24"/>
          <w:lang w:bidi="ar-IQ"/>
        </w:rPr>
        <w:lastRenderedPageBreak/>
        <w:t xml:space="preserve">[17] </w:t>
      </w:r>
      <w:r w:rsidR="00E052C2" w:rsidRPr="00E052C2">
        <w:rPr>
          <w:rFonts w:asciiTheme="majorBidi" w:hAnsiTheme="majorBidi" w:cstheme="majorBidi"/>
          <w:sz w:val="24"/>
          <w:szCs w:val="24"/>
          <w:lang w:bidi="ar-IQ"/>
        </w:rPr>
        <w:t>AbeE, Marians RC, YuW, et al. TSH is a</w:t>
      </w:r>
      <w:r w:rsidR="0037472A">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n</w:t>
      </w:r>
      <w:r w:rsidR="0037472A">
        <w:rPr>
          <w:rFonts w:asciiTheme="majorBidi" w:hAnsiTheme="majorBidi" w:cstheme="majorBidi"/>
          <w:sz w:val="24"/>
          <w:szCs w:val="24"/>
          <w:lang w:bidi="ar-IQ"/>
        </w:rPr>
        <w:t>egative regu</w:t>
      </w:r>
      <w:r w:rsidR="00E052C2" w:rsidRPr="00E052C2">
        <w:rPr>
          <w:rFonts w:asciiTheme="majorBidi" w:hAnsiTheme="majorBidi" w:cstheme="majorBidi"/>
          <w:sz w:val="24"/>
          <w:szCs w:val="24"/>
          <w:lang w:bidi="ar-IQ"/>
        </w:rPr>
        <w:t>lator of skeletal remodeling [J]. Cell, 2003, 115(2):151-162. DOI: 10.1016/s0092-8674(03)00771-2</w:t>
      </w:r>
      <w:r w:rsidR="00E052C2" w:rsidRPr="00E052C2">
        <w:rPr>
          <w:rFonts w:asciiTheme="majorBidi" w:hAnsiTheme="majorBidi" w:cs="Times New Roman"/>
          <w:sz w:val="24"/>
          <w:szCs w:val="24"/>
          <w:rtl/>
          <w:lang w:bidi="ar-IQ"/>
        </w:rPr>
        <w:t>.</w:t>
      </w:r>
    </w:p>
    <w:p w14:paraId="35E515A6" w14:textId="77777777" w:rsidR="00E052C2" w:rsidRDefault="00EF75F1"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[18] </w:t>
      </w:r>
      <w:r w:rsidR="00E052C2" w:rsidRPr="00E052C2">
        <w:rPr>
          <w:rFonts w:asciiTheme="majorBidi" w:hAnsiTheme="majorBidi" w:cstheme="majorBidi"/>
          <w:sz w:val="24"/>
          <w:szCs w:val="24"/>
          <w:lang w:bidi="ar-IQ"/>
        </w:rPr>
        <w:t>Boutin A, Neumann S, Gershengorn MC. Multitrans</w:t>
      </w:r>
      <w:r w:rsidR="00E052C2" w:rsidRPr="00E052C2">
        <w:rPr>
          <w:rFonts w:asciiTheme="majorBidi" w:hAnsiTheme="majorBidi" w:cs="Times New Roman"/>
          <w:sz w:val="24"/>
          <w:szCs w:val="24"/>
          <w:rtl/>
          <w:lang w:bidi="ar-IQ"/>
        </w:rPr>
        <w:t>-</w:t>
      </w:r>
      <w:r w:rsidR="00E052C2" w:rsidRPr="00E052C2">
        <w:rPr>
          <w:rFonts w:asciiTheme="majorBidi" w:hAnsiTheme="majorBidi" w:cstheme="majorBidi"/>
          <w:sz w:val="24"/>
          <w:szCs w:val="24"/>
          <w:lang w:bidi="ar-IQ"/>
        </w:rPr>
        <w:t>divis</w:t>
      </w:r>
      <w:r>
        <w:rPr>
          <w:rFonts w:asciiTheme="majorBidi" w:hAnsiTheme="majorBidi" w:cstheme="majorBidi"/>
          <w:sz w:val="24"/>
          <w:szCs w:val="24"/>
          <w:lang w:bidi="ar-IQ"/>
        </w:rPr>
        <w:t>ion pathways mediate ethyrotrop</w:t>
      </w:r>
      <w:r w:rsidR="00E052C2" w:rsidRPr="00E052C2">
        <w:rPr>
          <w:rFonts w:asciiTheme="majorBidi" w:hAnsiTheme="majorBidi" w:cstheme="majorBidi"/>
          <w:sz w:val="24"/>
          <w:szCs w:val="24"/>
          <w:lang w:bidi="ar-IQ"/>
        </w:rPr>
        <w:t>in receptor signaling</w:t>
      </w:r>
      <w:r>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In</w:t>
      </w:r>
      <w:r w:rsidR="0037472A">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preosteoblast-like</w:t>
      </w:r>
      <w:r w:rsidR="0037472A">
        <w:rPr>
          <w:rFonts w:asciiTheme="majorBidi" w:hAnsiTheme="majorBidi" w:cstheme="majorBidi"/>
          <w:sz w:val="24"/>
          <w:szCs w:val="24"/>
          <w:lang w:bidi="ar-IQ"/>
        </w:rPr>
        <w:t xml:space="preserve"> </w:t>
      </w:r>
      <w:r w:rsidR="00E052C2" w:rsidRPr="00E052C2">
        <w:rPr>
          <w:rFonts w:asciiTheme="majorBidi" w:hAnsiTheme="majorBidi" w:cstheme="majorBidi"/>
          <w:sz w:val="24"/>
          <w:szCs w:val="24"/>
          <w:lang w:bidi="ar-IQ"/>
        </w:rPr>
        <w:t>cells[J]. Endocrinology, 2016, 157(5): 2173-2181. DOI: 10.1210/en. 2015-2040</w:t>
      </w:r>
      <w:r>
        <w:rPr>
          <w:rFonts w:asciiTheme="majorBidi" w:hAnsiTheme="majorBidi" w:cstheme="majorBidi"/>
          <w:sz w:val="24"/>
          <w:szCs w:val="24"/>
          <w:lang w:bidi="ar-IQ"/>
        </w:rPr>
        <w:t>.</w:t>
      </w:r>
    </w:p>
    <w:p w14:paraId="307C41E5" w14:textId="77777777" w:rsidR="0037472A" w:rsidRDefault="00EF75F1" w:rsidP="00C6263D">
      <w:pPr>
        <w:bidi w:val="0"/>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[19] </w:t>
      </w:r>
      <w:r w:rsidRPr="00EF75F1">
        <w:rPr>
          <w:rFonts w:asciiTheme="majorBidi" w:hAnsiTheme="majorBidi" w:cstheme="majorBidi"/>
          <w:sz w:val="24"/>
          <w:szCs w:val="24"/>
          <w:lang w:bidi="ar-IQ"/>
        </w:rPr>
        <w:t>Neumann S, Eliseeva E, Boutique A, et al. Discovery</w:t>
      </w:r>
      <w:r>
        <w:rPr>
          <w:rFonts w:asciiTheme="majorBidi" w:hAnsiTheme="majorBidi" w:cstheme="majorBidi"/>
          <w:sz w:val="24"/>
          <w:szCs w:val="24"/>
          <w:lang w:bidi="ar-IQ"/>
        </w:rPr>
        <w:t xml:space="preserve"> </w:t>
      </w:r>
      <w:r w:rsidRPr="00EF75F1">
        <w:rPr>
          <w:rFonts w:asciiTheme="majorBidi" w:hAnsiTheme="majorBidi" w:cstheme="majorBidi"/>
          <w:sz w:val="24"/>
          <w:szCs w:val="24"/>
          <w:lang w:bidi="ar-IQ"/>
        </w:rPr>
        <w:t>of</w:t>
      </w:r>
      <w:r w:rsidR="0037472A">
        <w:rPr>
          <w:rFonts w:asciiTheme="majorBidi" w:hAnsiTheme="majorBidi" w:cstheme="majorBidi"/>
          <w:sz w:val="24"/>
          <w:szCs w:val="24"/>
          <w:lang w:bidi="ar-IQ"/>
        </w:rPr>
        <w:t xml:space="preserve"> </w:t>
      </w:r>
      <w:r w:rsidRPr="00EF75F1">
        <w:rPr>
          <w:rFonts w:asciiTheme="majorBidi" w:hAnsiTheme="majorBidi" w:cstheme="majorBidi"/>
          <w:sz w:val="24"/>
          <w:szCs w:val="24"/>
          <w:lang w:bidi="ar-IQ"/>
        </w:rPr>
        <w:t>a</w:t>
      </w:r>
      <w:r>
        <w:rPr>
          <w:rFonts w:asciiTheme="majorBidi" w:hAnsiTheme="majorBidi" w:cstheme="majorBidi"/>
          <w:sz w:val="24"/>
          <w:szCs w:val="24"/>
          <w:lang w:bidi="ar-IQ"/>
        </w:rPr>
        <w:t xml:space="preserve"> Positive all osteric </w:t>
      </w:r>
      <w:r w:rsidRPr="00EF75F1">
        <w:rPr>
          <w:rFonts w:asciiTheme="majorBidi" w:hAnsiTheme="majorBidi" w:cstheme="majorBidi"/>
          <w:sz w:val="24"/>
          <w:szCs w:val="24"/>
          <w:lang w:bidi="ar-IQ"/>
        </w:rPr>
        <w:t>modulator of the rotropin receptor potentiation of thyrotropin-mediated pre</w:t>
      </w:r>
      <w:r w:rsidR="0037472A">
        <w:rPr>
          <w:rFonts w:asciiTheme="majorBidi" w:hAnsiTheme="majorBidi" w:cstheme="majorBidi"/>
          <w:sz w:val="24"/>
          <w:szCs w:val="24"/>
          <w:lang w:bidi="ar-IQ"/>
        </w:rPr>
        <w:t xml:space="preserve"> </w:t>
      </w:r>
      <w:r w:rsidR="002154D3">
        <w:rPr>
          <w:rFonts w:asciiTheme="majorBidi" w:hAnsiTheme="majorBidi" w:cstheme="majorBidi"/>
          <w:sz w:val="24"/>
          <w:szCs w:val="24"/>
          <w:lang w:bidi="ar-IQ"/>
        </w:rPr>
        <w:t>osteoblast differe</w:t>
      </w:r>
      <w:r w:rsidRPr="00EF75F1">
        <w:rPr>
          <w:rFonts w:asciiTheme="majorBidi" w:hAnsiTheme="majorBidi" w:cstheme="majorBidi"/>
          <w:sz w:val="24"/>
          <w:szCs w:val="24"/>
          <w:lang w:bidi="ar-IQ"/>
        </w:rPr>
        <w:t>ntiation</w:t>
      </w:r>
      <w:r w:rsidR="002154D3">
        <w:rPr>
          <w:rFonts w:asciiTheme="majorBidi" w:hAnsiTheme="majorBidi" w:cstheme="majorBidi"/>
          <w:sz w:val="24"/>
          <w:szCs w:val="24"/>
          <w:lang w:bidi="ar-IQ"/>
        </w:rPr>
        <w:t xml:space="preserve"> </w:t>
      </w:r>
      <w:r w:rsidRPr="00EF75F1">
        <w:rPr>
          <w:rFonts w:asciiTheme="majorBidi" w:hAnsiTheme="majorBidi" w:cstheme="majorBidi"/>
          <w:sz w:val="24"/>
          <w:szCs w:val="24"/>
          <w:lang w:bidi="ar-IQ"/>
        </w:rPr>
        <w:t>in</w:t>
      </w:r>
      <w:r w:rsidR="002154D3">
        <w:rPr>
          <w:rFonts w:asciiTheme="majorBidi" w:hAnsiTheme="majorBidi" w:cstheme="majorBidi"/>
          <w:sz w:val="24"/>
          <w:szCs w:val="24"/>
          <w:lang w:bidi="ar-IQ"/>
        </w:rPr>
        <w:t xml:space="preserve"> </w:t>
      </w:r>
      <w:r w:rsidRPr="00EF75F1">
        <w:rPr>
          <w:rFonts w:asciiTheme="majorBidi" w:hAnsiTheme="majorBidi" w:cstheme="majorBidi"/>
          <w:sz w:val="24"/>
          <w:szCs w:val="24"/>
          <w:lang w:bidi="ar-IQ"/>
        </w:rPr>
        <w:t>vitro[J]. J Pharmacol</w:t>
      </w:r>
      <w:r w:rsidR="0037472A">
        <w:rPr>
          <w:rFonts w:asciiTheme="majorBidi" w:hAnsiTheme="majorBidi" w:cstheme="majorBidi"/>
          <w:sz w:val="24"/>
          <w:szCs w:val="24"/>
          <w:lang w:bidi="ar-IQ"/>
        </w:rPr>
        <w:t xml:space="preserve"> </w:t>
      </w:r>
      <w:r w:rsidRPr="00EF75F1">
        <w:rPr>
          <w:rFonts w:asciiTheme="majorBidi" w:hAnsiTheme="majorBidi" w:cstheme="majorBidi"/>
          <w:sz w:val="24"/>
          <w:szCs w:val="24"/>
          <w:lang w:bidi="ar-IQ"/>
        </w:rPr>
        <w:t>Exp</w:t>
      </w:r>
      <w:r w:rsidR="0037472A">
        <w:rPr>
          <w:rFonts w:asciiTheme="majorBidi" w:hAnsiTheme="majorBidi" w:cstheme="majorBidi"/>
          <w:sz w:val="24"/>
          <w:szCs w:val="24"/>
          <w:lang w:bidi="ar-IQ"/>
        </w:rPr>
        <w:t xml:space="preserve"> </w:t>
      </w:r>
      <w:r w:rsidRPr="00EF75F1">
        <w:rPr>
          <w:rFonts w:asciiTheme="majorBidi" w:hAnsiTheme="majorBidi" w:cstheme="majorBidi"/>
          <w:sz w:val="24"/>
          <w:szCs w:val="24"/>
          <w:lang w:bidi="ar-IQ"/>
        </w:rPr>
        <w:t>Ther, 2018, 364(1): 38-45. DOI: 10.1124/jpet. 117.244095</w:t>
      </w:r>
      <w:r w:rsidR="0037472A">
        <w:rPr>
          <w:rFonts w:asciiTheme="majorBidi" w:hAnsiTheme="majorBidi" w:cstheme="majorBidi"/>
          <w:sz w:val="24"/>
          <w:szCs w:val="24"/>
          <w:lang w:bidi="ar-IQ"/>
        </w:rPr>
        <w:t>.</w:t>
      </w:r>
    </w:p>
    <w:p w14:paraId="29F8B7B3" w14:textId="77777777" w:rsidR="00EF75F1" w:rsidRPr="00EF75F1" w:rsidRDefault="0037472A"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[20] </w:t>
      </w:r>
      <w:r w:rsidR="00EF75F1" w:rsidRPr="00EF75F1">
        <w:rPr>
          <w:rFonts w:asciiTheme="majorBidi" w:hAnsiTheme="majorBidi" w:cstheme="majorBidi"/>
          <w:sz w:val="24"/>
          <w:szCs w:val="24"/>
          <w:lang w:bidi="ar-IQ"/>
        </w:rPr>
        <w:t>Hao Xiaoyun. Subclinical hypothyroidism and bone marrow in Taiyuan residents Metabolic correlation research [D]. Taiyuan:Shanxi Medical University, 2018</w:t>
      </w:r>
      <w:r w:rsidR="00EF75F1" w:rsidRPr="00EF75F1">
        <w:rPr>
          <w:rFonts w:asciiTheme="majorBidi" w:hAnsiTheme="majorBidi" w:cs="Times New Roman"/>
          <w:sz w:val="24"/>
          <w:szCs w:val="24"/>
          <w:rtl/>
          <w:lang w:bidi="ar-IQ"/>
        </w:rPr>
        <w:t>.</w:t>
      </w:r>
    </w:p>
    <w:p w14:paraId="45AC08C5" w14:textId="77777777" w:rsidR="0037472A" w:rsidRDefault="0037472A"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[21] </w:t>
      </w:r>
      <w:r w:rsidR="00982172" w:rsidRPr="00982172">
        <w:rPr>
          <w:rFonts w:asciiTheme="majorBidi" w:hAnsiTheme="majorBidi" w:cstheme="majorBidi"/>
          <w:sz w:val="24"/>
          <w:szCs w:val="24"/>
          <w:lang w:bidi="ar-IQ"/>
        </w:rPr>
        <w:t>Zaidan HK, Mohammed AH. Glucagon like peptide-1 and C peptide level and their relationship with some physiological and biochemical variables of non-insulin dependent diabetes mellitus type 2 patient. Australian Journal of Basic and Applied Sciences. 2014 ; 8:1-10.</w:t>
      </w:r>
    </w:p>
    <w:p w14:paraId="73D956FD" w14:textId="77777777" w:rsidR="00EF75F1" w:rsidRPr="00EF75F1" w:rsidRDefault="0037472A"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[22] </w:t>
      </w:r>
      <w:r w:rsidR="00EF75F1" w:rsidRPr="00EF75F1">
        <w:rPr>
          <w:rFonts w:asciiTheme="majorBidi" w:hAnsiTheme="majorBidi" w:cstheme="majorBidi"/>
          <w:sz w:val="24"/>
          <w:szCs w:val="24"/>
          <w:lang w:bidi="ar-IQ"/>
        </w:rPr>
        <w:t>Segna D, Bauer DC, Feller M, et al. Association between</w:t>
      </w:r>
      <w:r>
        <w:rPr>
          <w:rFonts w:asciiTheme="majorBidi" w:hAnsiTheme="majorBidi" w:cstheme="majorBidi"/>
          <w:sz w:val="24"/>
          <w:szCs w:val="24"/>
          <w:lang w:bidi="ar-IQ"/>
        </w:rPr>
        <w:t xml:space="preserve"> subclinica</w:t>
      </w:r>
      <w:r w:rsidR="00EF75F1" w:rsidRPr="00EF75F1">
        <w:rPr>
          <w:rFonts w:asciiTheme="majorBidi" w:hAnsiTheme="majorBidi" w:cstheme="majorBidi"/>
          <w:sz w:val="24"/>
          <w:szCs w:val="24"/>
          <w:lang w:bidi="ar-IQ"/>
        </w:rPr>
        <w:t>l</w:t>
      </w:r>
      <w:r>
        <w:rPr>
          <w:rFonts w:asciiTheme="majorBidi" w:hAnsiTheme="majorBidi" w:cstheme="majorBidi"/>
          <w:sz w:val="24"/>
          <w:szCs w:val="24"/>
          <w:lang w:bidi="ar-IQ"/>
        </w:rPr>
        <w:t xml:space="preserve"> </w:t>
      </w:r>
      <w:r w:rsidR="00EF75F1" w:rsidRPr="00EF75F1">
        <w:rPr>
          <w:rFonts w:asciiTheme="majorBidi" w:hAnsiTheme="majorBidi" w:cstheme="majorBidi"/>
          <w:sz w:val="24"/>
          <w:szCs w:val="24"/>
          <w:lang w:bidi="ar-IQ"/>
        </w:rPr>
        <w:t>thyroid dysfunction and change in bone mineral density in prospective cohorts[J]. J Intern Med, 2018, 2</w:t>
      </w:r>
      <w:r>
        <w:rPr>
          <w:rFonts w:asciiTheme="majorBidi" w:hAnsiTheme="majorBidi" w:cstheme="majorBidi"/>
          <w:sz w:val="24"/>
          <w:szCs w:val="24"/>
          <w:lang w:bidi="ar-IQ"/>
        </w:rPr>
        <w:t>83(1):56-72. DOI: 10.1111/joim.</w:t>
      </w:r>
      <w:r w:rsidR="00EF75F1" w:rsidRPr="00EF75F1">
        <w:rPr>
          <w:rFonts w:asciiTheme="majorBidi" w:hAnsiTheme="majorBidi" w:cstheme="majorBidi"/>
          <w:sz w:val="24"/>
          <w:szCs w:val="24"/>
          <w:lang w:bidi="ar-IQ"/>
        </w:rPr>
        <w:t>12688</w:t>
      </w:r>
      <w:r w:rsidR="00EF75F1" w:rsidRPr="00EF75F1">
        <w:rPr>
          <w:rFonts w:asciiTheme="majorBidi" w:hAnsiTheme="majorBidi" w:cs="Times New Roman"/>
          <w:sz w:val="24"/>
          <w:szCs w:val="24"/>
          <w:rtl/>
          <w:lang w:bidi="ar-IQ"/>
        </w:rPr>
        <w:t>.</w:t>
      </w:r>
    </w:p>
    <w:p w14:paraId="73EB178D" w14:textId="77777777" w:rsidR="00EF75F1" w:rsidRPr="00EF75F1" w:rsidRDefault="0037472A"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[23] </w:t>
      </w:r>
      <w:r w:rsidR="00EF75F1" w:rsidRPr="00EF75F1">
        <w:rPr>
          <w:rFonts w:asciiTheme="majorBidi" w:hAnsiTheme="majorBidi" w:cstheme="majorBidi"/>
          <w:sz w:val="24"/>
          <w:szCs w:val="24"/>
          <w:lang w:bidi="ar-IQ"/>
        </w:rPr>
        <w:t>Liang Libo, Wang Youjuan, Zhang Mei, et al. subclinical hypothyroidism Correlation study with bone mineral density and bone metabolism indexes[J]. Sichuan University Chinese Journal of Medical Sciences, 2014, 45(1): 66-69, 83</w:t>
      </w:r>
      <w:r w:rsidR="00EF75F1" w:rsidRPr="00EF75F1">
        <w:rPr>
          <w:rFonts w:asciiTheme="majorBidi" w:hAnsiTheme="majorBidi" w:cs="Times New Roman"/>
          <w:sz w:val="24"/>
          <w:szCs w:val="24"/>
          <w:rtl/>
          <w:lang w:bidi="ar-IQ"/>
        </w:rPr>
        <w:t>.</w:t>
      </w:r>
    </w:p>
    <w:p w14:paraId="1CF36EF1" w14:textId="77777777" w:rsidR="00EF75F1" w:rsidRPr="00EF75F1" w:rsidRDefault="0037472A"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[24] </w:t>
      </w:r>
      <w:r w:rsidR="00EF75F1" w:rsidRPr="00EF75F1">
        <w:rPr>
          <w:rFonts w:asciiTheme="majorBidi" w:hAnsiTheme="majorBidi" w:cstheme="majorBidi"/>
          <w:sz w:val="24"/>
          <w:szCs w:val="24"/>
          <w:lang w:bidi="ar-IQ"/>
        </w:rPr>
        <w:t>Wang Jiadan, Zhang Qiao, Shi Lixin, et al. subclinical hypothyroidism Residents' serum 25-hydroxyvitamin D levels and cardiovascular risk factors Changes [J]. Chinese General Medicine, 2016, (22): 2</w:t>
      </w:r>
      <w:r w:rsidR="009E27BC">
        <w:rPr>
          <w:rFonts w:asciiTheme="majorBidi" w:hAnsiTheme="majorBidi" w:cstheme="majorBidi"/>
          <w:sz w:val="24"/>
          <w:szCs w:val="24"/>
          <w:lang w:bidi="ar-IQ"/>
        </w:rPr>
        <w:t xml:space="preserve">671-2675. DOI: 10.3969/j. issn. </w:t>
      </w:r>
      <w:r w:rsidR="00EF75F1" w:rsidRPr="00EF75F1">
        <w:rPr>
          <w:rFonts w:asciiTheme="majorBidi" w:hAnsiTheme="majorBidi" w:cstheme="majorBidi"/>
          <w:sz w:val="24"/>
          <w:szCs w:val="24"/>
          <w:lang w:bidi="ar-IQ"/>
        </w:rPr>
        <w:t>10079572.2016.22.012</w:t>
      </w:r>
      <w:r w:rsidR="00EF75F1" w:rsidRPr="00EF75F1">
        <w:rPr>
          <w:rFonts w:asciiTheme="majorBidi" w:hAnsiTheme="majorBidi" w:cs="Times New Roman"/>
          <w:sz w:val="24"/>
          <w:szCs w:val="24"/>
          <w:rtl/>
          <w:lang w:bidi="ar-IQ"/>
        </w:rPr>
        <w:t>.</w:t>
      </w:r>
    </w:p>
    <w:p w14:paraId="41F3CAA0" w14:textId="77777777" w:rsidR="00EF75F1" w:rsidRPr="00EF75F1" w:rsidRDefault="0037472A"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[25] </w:t>
      </w:r>
      <w:r w:rsidR="00EF75F1" w:rsidRPr="00EF75F1">
        <w:rPr>
          <w:rFonts w:asciiTheme="majorBidi" w:hAnsiTheme="majorBidi" w:cstheme="majorBidi"/>
          <w:sz w:val="24"/>
          <w:szCs w:val="24"/>
          <w:lang w:bidi="ar-IQ"/>
        </w:rPr>
        <w:t>Chinese Medical Association Osteoporosis and Bone Mineral Disease Branch. bone metabolism Guidelines for clinical application of chemical markers. Chinese osteoporosis and bone mineral</w:t>
      </w:r>
      <w:r>
        <w:rPr>
          <w:rFonts w:asciiTheme="majorBidi" w:hAnsiTheme="majorBidi" w:cstheme="majorBidi"/>
          <w:sz w:val="24"/>
          <w:szCs w:val="24"/>
          <w:lang w:bidi="ar-IQ"/>
        </w:rPr>
        <w:t xml:space="preserve"> </w:t>
      </w:r>
      <w:r w:rsidR="00EF75F1" w:rsidRPr="00EF75F1">
        <w:rPr>
          <w:rFonts w:asciiTheme="majorBidi" w:hAnsiTheme="majorBidi" w:cstheme="majorBidi"/>
          <w:sz w:val="24"/>
          <w:szCs w:val="24"/>
          <w:lang w:bidi="ar-IQ"/>
        </w:rPr>
        <w:t>Journal of Diseases, 2015, (4): 283-293. DOI: 10.3969/j. issn. 1674-2591.2015.04.001</w:t>
      </w:r>
      <w:r w:rsidR="00EF75F1" w:rsidRPr="00EF75F1">
        <w:rPr>
          <w:rFonts w:asciiTheme="majorBidi" w:hAnsiTheme="majorBidi" w:cs="Times New Roman"/>
          <w:sz w:val="24"/>
          <w:szCs w:val="24"/>
          <w:rtl/>
          <w:lang w:bidi="ar-IQ"/>
        </w:rPr>
        <w:t>.</w:t>
      </w:r>
    </w:p>
    <w:p w14:paraId="40B12302" w14:textId="77777777" w:rsidR="00EF75F1" w:rsidRPr="00EF75F1" w:rsidRDefault="0037472A" w:rsidP="00C6263D">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[26] </w:t>
      </w:r>
      <w:r w:rsidR="00EF75F1" w:rsidRPr="00EF75F1">
        <w:rPr>
          <w:rFonts w:asciiTheme="majorBidi" w:hAnsiTheme="majorBidi" w:cstheme="majorBidi"/>
          <w:sz w:val="24"/>
          <w:szCs w:val="24"/>
          <w:lang w:bidi="ar-IQ"/>
        </w:rPr>
        <w:t>Mosekilde L, Eriksen EF, Charles P. Effects</w:t>
      </w:r>
      <w:r>
        <w:rPr>
          <w:rFonts w:asciiTheme="majorBidi" w:hAnsiTheme="majorBidi" w:cstheme="majorBidi"/>
          <w:sz w:val="24"/>
          <w:szCs w:val="24"/>
          <w:lang w:bidi="ar-IQ"/>
        </w:rPr>
        <w:t xml:space="preserve"> </w:t>
      </w:r>
      <w:r w:rsidR="00EF75F1" w:rsidRPr="00EF75F1">
        <w:rPr>
          <w:rFonts w:asciiTheme="majorBidi" w:hAnsiTheme="majorBidi" w:cstheme="majorBidi"/>
          <w:sz w:val="24"/>
          <w:szCs w:val="24"/>
          <w:lang w:bidi="ar-IQ"/>
        </w:rPr>
        <w:t>of</w:t>
      </w:r>
      <w:r>
        <w:rPr>
          <w:rFonts w:asciiTheme="majorBidi" w:hAnsiTheme="majorBidi" w:cstheme="majorBidi"/>
          <w:sz w:val="24"/>
          <w:szCs w:val="24"/>
          <w:lang w:bidi="ar-IQ"/>
        </w:rPr>
        <w:t xml:space="preserve"> </w:t>
      </w:r>
      <w:r w:rsidR="00EF75F1" w:rsidRPr="00EF75F1">
        <w:rPr>
          <w:rFonts w:asciiTheme="majorBidi" w:hAnsiTheme="majorBidi" w:cstheme="majorBidi"/>
          <w:sz w:val="24"/>
          <w:szCs w:val="24"/>
          <w:lang w:bidi="ar-IQ"/>
        </w:rPr>
        <w:t xml:space="preserve">Hormones on bone and </w:t>
      </w:r>
      <w:r>
        <w:rPr>
          <w:rFonts w:asciiTheme="majorBidi" w:hAnsiTheme="majorBidi" w:cstheme="majorBidi"/>
          <w:sz w:val="24"/>
          <w:szCs w:val="24"/>
          <w:lang w:bidi="ar-IQ"/>
        </w:rPr>
        <w:t>mineral metabolism[J]. Endocri</w:t>
      </w:r>
      <w:r w:rsidR="00EF75F1" w:rsidRPr="00EF75F1">
        <w:rPr>
          <w:rFonts w:asciiTheme="majorBidi" w:hAnsiTheme="majorBidi" w:cstheme="majorBidi"/>
          <w:sz w:val="24"/>
          <w:szCs w:val="24"/>
          <w:lang w:bidi="ar-IQ"/>
        </w:rPr>
        <w:t>nol Metab Clin North Am, 1990, 19(1): 35-63</w:t>
      </w:r>
      <w:r w:rsidR="00EF75F1" w:rsidRPr="00EF75F1">
        <w:rPr>
          <w:rFonts w:asciiTheme="majorBidi" w:hAnsiTheme="majorBidi" w:cs="Times New Roman"/>
          <w:sz w:val="24"/>
          <w:szCs w:val="24"/>
          <w:rtl/>
          <w:lang w:bidi="ar-IQ"/>
        </w:rPr>
        <w:t>.</w:t>
      </w:r>
    </w:p>
    <w:p w14:paraId="6698D71F" w14:textId="77777777" w:rsidR="00EF75F1" w:rsidRDefault="00EF75F1" w:rsidP="00C6263D">
      <w:pPr>
        <w:bidi w:val="0"/>
        <w:jc w:val="both"/>
        <w:rPr>
          <w:rFonts w:asciiTheme="majorBidi" w:hAnsiTheme="majorBidi" w:cstheme="majorBidi"/>
          <w:sz w:val="24"/>
          <w:szCs w:val="24"/>
          <w:lang w:bidi="ar-IQ"/>
        </w:rPr>
      </w:pPr>
      <w:r w:rsidRPr="00EF75F1">
        <w:rPr>
          <w:rFonts w:asciiTheme="majorBidi" w:hAnsiTheme="majorBidi" w:cstheme="majorBidi"/>
          <w:sz w:val="24"/>
          <w:szCs w:val="24"/>
          <w:lang w:bidi="ar-IQ"/>
        </w:rPr>
        <w:t xml:space="preserve">[27] Liu C, Zhang Y, Fu T, et al. Effects of </w:t>
      </w:r>
      <w:r w:rsidR="0037472A" w:rsidRPr="00EF75F1">
        <w:rPr>
          <w:rFonts w:asciiTheme="majorBidi" w:hAnsiTheme="majorBidi" w:cstheme="majorBidi"/>
          <w:sz w:val="24"/>
          <w:szCs w:val="24"/>
          <w:lang w:bidi="ar-IQ"/>
        </w:rPr>
        <w:t>magnetic</w:t>
      </w:r>
      <w:r w:rsidRPr="00EF75F1">
        <w:rPr>
          <w:rFonts w:asciiTheme="majorBidi" w:hAnsiTheme="majorBidi" w:cstheme="majorBidi"/>
          <w:sz w:val="24"/>
          <w:szCs w:val="24"/>
          <w:lang w:bidi="ar-IQ"/>
        </w:rPr>
        <w:t xml:space="preserve"> Fields on bonne loss in hyperthyroidism </w:t>
      </w:r>
      <w:r w:rsidR="0037472A" w:rsidRPr="00EF75F1">
        <w:rPr>
          <w:rFonts w:asciiTheme="majorBidi" w:hAnsiTheme="majorBidi" w:cstheme="majorBidi"/>
          <w:sz w:val="24"/>
          <w:szCs w:val="24"/>
          <w:lang w:bidi="ar-IQ"/>
        </w:rPr>
        <w:t>rat model</w:t>
      </w:r>
      <w:r w:rsidRPr="00EF75F1">
        <w:rPr>
          <w:rFonts w:asciiTheme="majorBidi" w:hAnsiTheme="majorBidi" w:cstheme="majorBidi"/>
          <w:sz w:val="24"/>
          <w:szCs w:val="24"/>
          <w:lang w:bidi="ar-IQ"/>
        </w:rPr>
        <w:t>[J]. Bioelectronics, 2017, 38</w:t>
      </w:r>
      <w:r w:rsidR="0037472A">
        <w:rPr>
          <w:rFonts w:asciiTheme="majorBidi" w:hAnsiTheme="majorBidi" w:cstheme="majorBidi"/>
          <w:sz w:val="24"/>
          <w:szCs w:val="24"/>
          <w:lang w:bidi="ar-IQ"/>
        </w:rPr>
        <w:t>(2): 137-150. DOI: 10.1002/bem.</w:t>
      </w:r>
      <w:r w:rsidRPr="00EF75F1">
        <w:rPr>
          <w:rFonts w:asciiTheme="majorBidi" w:hAnsiTheme="majorBidi" w:cstheme="majorBidi"/>
          <w:sz w:val="24"/>
          <w:szCs w:val="24"/>
          <w:lang w:bidi="ar-IQ"/>
        </w:rPr>
        <w:t>22022.</w:t>
      </w:r>
    </w:p>
    <w:p w14:paraId="1081A079" w14:textId="77777777" w:rsidR="00286C05" w:rsidRPr="0084453E" w:rsidRDefault="00286C05" w:rsidP="00C6263D">
      <w:pPr>
        <w:bidi w:val="0"/>
        <w:jc w:val="both"/>
        <w:rPr>
          <w:rFonts w:asciiTheme="majorBidi" w:hAnsiTheme="majorBidi" w:cstheme="majorBidi"/>
          <w:sz w:val="24"/>
          <w:szCs w:val="24"/>
          <w:lang w:bidi="ar-IQ"/>
        </w:rPr>
      </w:pPr>
    </w:p>
    <w:p w14:paraId="57F5FE20" w14:textId="77777777" w:rsidR="0084453E" w:rsidRDefault="0084453E" w:rsidP="00C6263D">
      <w:pPr>
        <w:bidi w:val="0"/>
        <w:jc w:val="both"/>
        <w:rPr>
          <w:rFonts w:asciiTheme="majorBidi" w:hAnsiTheme="majorBidi" w:cstheme="majorBidi"/>
          <w:sz w:val="24"/>
          <w:szCs w:val="24"/>
          <w:lang w:bidi="ar-IQ"/>
        </w:rPr>
      </w:pPr>
    </w:p>
    <w:p w14:paraId="1322E5FF" w14:textId="77777777" w:rsidR="0084453E" w:rsidRDefault="0084453E" w:rsidP="00C6263D">
      <w:pPr>
        <w:bidi w:val="0"/>
        <w:jc w:val="both"/>
        <w:rPr>
          <w:rFonts w:asciiTheme="majorBidi" w:hAnsiTheme="majorBidi" w:cstheme="majorBidi"/>
          <w:sz w:val="24"/>
          <w:szCs w:val="24"/>
          <w:lang w:bidi="ar-IQ"/>
        </w:rPr>
      </w:pPr>
    </w:p>
    <w:p w14:paraId="3CDE2F58" w14:textId="77777777" w:rsidR="0084453E" w:rsidRPr="005A21A5" w:rsidRDefault="0084453E" w:rsidP="00C6263D">
      <w:pPr>
        <w:bidi w:val="0"/>
        <w:jc w:val="both"/>
        <w:rPr>
          <w:rFonts w:asciiTheme="majorBidi" w:hAnsiTheme="majorBidi" w:cstheme="majorBidi"/>
          <w:sz w:val="24"/>
          <w:szCs w:val="24"/>
          <w:lang w:bidi="ar-IQ"/>
        </w:rPr>
      </w:pPr>
    </w:p>
    <w:sectPr w:rsidR="0084453E" w:rsidRPr="005A21A5" w:rsidSect="00982172">
      <w:footerReference w:type="default" r:id="rId7"/>
      <w:pgSz w:w="11906" w:h="16838"/>
      <w:pgMar w:top="1440" w:right="1800" w:bottom="1440" w:left="1800" w:header="708" w:footer="708" w:gutter="0"/>
      <w:pgNumType w:fmt="numberInDash"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01D0" w14:textId="77777777" w:rsidR="008345BA" w:rsidRDefault="008345BA" w:rsidP="00982172">
      <w:pPr>
        <w:spacing w:after="0" w:line="240" w:lineRule="auto"/>
      </w:pPr>
      <w:r>
        <w:separator/>
      </w:r>
    </w:p>
  </w:endnote>
  <w:endnote w:type="continuationSeparator" w:id="0">
    <w:p w14:paraId="516B44AD" w14:textId="77777777" w:rsidR="008345BA" w:rsidRDefault="008345BA" w:rsidP="0098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DC16" w14:textId="77777777" w:rsidR="00982172" w:rsidRPr="00982172" w:rsidRDefault="00982172" w:rsidP="00982172">
    <w:pPr>
      <w:pStyle w:val="Footer"/>
      <w:bidi w:val="0"/>
      <w:jc w:val="center"/>
      <w:rPr>
        <w:rFonts w:asciiTheme="majorBidi" w:hAnsiTheme="majorBidi" w:cstheme="majorBidi"/>
        <w:sz w:val="24"/>
        <w:szCs w:val="24"/>
        <w:lang w:bidi="ar-IQ"/>
      </w:rPr>
    </w:pPr>
    <w:r>
      <w:rPr>
        <w:rFonts w:asciiTheme="majorBidi" w:hAnsiTheme="majorBidi" w:cstheme="majorBidi"/>
        <w:sz w:val="24"/>
        <w:szCs w:val="24"/>
        <w:lang w:bidi="ar-IQ"/>
      </w:rPr>
      <w:fldChar w:fldCharType="begin"/>
    </w:r>
    <w:r>
      <w:rPr>
        <w:rFonts w:asciiTheme="majorBidi" w:hAnsiTheme="majorBidi" w:cstheme="majorBidi"/>
        <w:sz w:val="24"/>
        <w:szCs w:val="24"/>
        <w:lang w:bidi="ar-IQ"/>
      </w:rPr>
      <w:instrText xml:space="preserve"> PAGE   </w:instrText>
    </w:r>
    <w:r>
      <w:rPr>
        <w:rFonts w:asciiTheme="majorBidi" w:hAnsiTheme="majorBidi" w:cstheme="majorBidi"/>
        <w:sz w:val="24"/>
        <w:szCs w:val="24"/>
        <w:lang w:bidi="ar-IQ"/>
      </w:rPr>
      <w:fldChar w:fldCharType="separate"/>
    </w:r>
    <w:r w:rsidR="00FF7F74">
      <w:rPr>
        <w:rFonts w:asciiTheme="majorBidi" w:hAnsiTheme="majorBidi" w:cstheme="majorBidi"/>
        <w:noProof/>
        <w:sz w:val="24"/>
        <w:szCs w:val="24"/>
        <w:lang w:bidi="ar-IQ"/>
      </w:rPr>
      <w:t>- 1 -</w:t>
    </w:r>
    <w:r>
      <w:rPr>
        <w:rFonts w:asciiTheme="majorBidi" w:hAnsiTheme="majorBidi" w:cstheme="majorBidi"/>
        <w:sz w:val="24"/>
        <w:szCs w:val="24"/>
        <w:lang w:bidi="ar-IQ"/>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D7C6" w14:textId="77777777" w:rsidR="008345BA" w:rsidRDefault="008345BA" w:rsidP="00982172">
      <w:pPr>
        <w:spacing w:after="0" w:line="240" w:lineRule="auto"/>
      </w:pPr>
      <w:r>
        <w:separator/>
      </w:r>
    </w:p>
  </w:footnote>
  <w:footnote w:type="continuationSeparator" w:id="0">
    <w:p w14:paraId="7377CF4A" w14:textId="77777777" w:rsidR="008345BA" w:rsidRDefault="008345BA" w:rsidP="00982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98"/>
    <w:rsid w:val="0005557C"/>
    <w:rsid w:val="0006705B"/>
    <w:rsid w:val="00082CDE"/>
    <w:rsid w:val="00116D65"/>
    <w:rsid w:val="00117D23"/>
    <w:rsid w:val="001D1ECE"/>
    <w:rsid w:val="001F6384"/>
    <w:rsid w:val="002154D3"/>
    <w:rsid w:val="00286C05"/>
    <w:rsid w:val="002B03A6"/>
    <w:rsid w:val="00354E84"/>
    <w:rsid w:val="00356D81"/>
    <w:rsid w:val="0037472A"/>
    <w:rsid w:val="00375158"/>
    <w:rsid w:val="003977C5"/>
    <w:rsid w:val="003D6963"/>
    <w:rsid w:val="003F157C"/>
    <w:rsid w:val="00415C6E"/>
    <w:rsid w:val="004668EA"/>
    <w:rsid w:val="004B2C98"/>
    <w:rsid w:val="004C02C6"/>
    <w:rsid w:val="004E6C55"/>
    <w:rsid w:val="004F0DA8"/>
    <w:rsid w:val="00510D74"/>
    <w:rsid w:val="005572BC"/>
    <w:rsid w:val="00586080"/>
    <w:rsid w:val="005A21A5"/>
    <w:rsid w:val="005C7579"/>
    <w:rsid w:val="00604035"/>
    <w:rsid w:val="00623AA2"/>
    <w:rsid w:val="00661B00"/>
    <w:rsid w:val="00750E53"/>
    <w:rsid w:val="007575FD"/>
    <w:rsid w:val="00792228"/>
    <w:rsid w:val="007F7A64"/>
    <w:rsid w:val="0080254A"/>
    <w:rsid w:val="00823475"/>
    <w:rsid w:val="0082652C"/>
    <w:rsid w:val="008345BA"/>
    <w:rsid w:val="0084453E"/>
    <w:rsid w:val="00853041"/>
    <w:rsid w:val="008667BB"/>
    <w:rsid w:val="00895200"/>
    <w:rsid w:val="008B397B"/>
    <w:rsid w:val="008E0DCE"/>
    <w:rsid w:val="008F0461"/>
    <w:rsid w:val="008F642B"/>
    <w:rsid w:val="00976CB6"/>
    <w:rsid w:val="00982172"/>
    <w:rsid w:val="009B5CAD"/>
    <w:rsid w:val="009D01A4"/>
    <w:rsid w:val="009D33A5"/>
    <w:rsid w:val="009E27BC"/>
    <w:rsid w:val="009F62A6"/>
    <w:rsid w:val="00A242D4"/>
    <w:rsid w:val="00A31C08"/>
    <w:rsid w:val="00A738AB"/>
    <w:rsid w:val="00AC73D6"/>
    <w:rsid w:val="00B22238"/>
    <w:rsid w:val="00B953A4"/>
    <w:rsid w:val="00BC1EDE"/>
    <w:rsid w:val="00C2410E"/>
    <w:rsid w:val="00C4604B"/>
    <w:rsid w:val="00C523DF"/>
    <w:rsid w:val="00C6263D"/>
    <w:rsid w:val="00CA17B8"/>
    <w:rsid w:val="00CB6C9A"/>
    <w:rsid w:val="00CB73E9"/>
    <w:rsid w:val="00DB5722"/>
    <w:rsid w:val="00DD1A2D"/>
    <w:rsid w:val="00DF12CE"/>
    <w:rsid w:val="00E052C2"/>
    <w:rsid w:val="00E6748C"/>
    <w:rsid w:val="00EA669E"/>
    <w:rsid w:val="00EE4741"/>
    <w:rsid w:val="00EF75F1"/>
    <w:rsid w:val="00F04B89"/>
    <w:rsid w:val="00F211D9"/>
    <w:rsid w:val="00F90E9E"/>
    <w:rsid w:val="00F91DF9"/>
    <w:rsid w:val="00FF4441"/>
    <w:rsid w:val="00FF64C7"/>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DB4B5"/>
  <w15:docId w15:val="{E9EB06AE-8201-4210-B976-A36F0B4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53E"/>
    <w:pPr>
      <w:ind w:left="720"/>
      <w:contextualSpacing/>
    </w:pPr>
  </w:style>
  <w:style w:type="table" w:styleId="TableGrid">
    <w:name w:val="Table Grid"/>
    <w:basedOn w:val="TableNormal"/>
    <w:uiPriority w:val="59"/>
    <w:rsid w:val="00C24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21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2172"/>
  </w:style>
  <w:style w:type="paragraph" w:styleId="Footer">
    <w:name w:val="footer"/>
    <w:basedOn w:val="Normal"/>
    <w:link w:val="FooterChar"/>
    <w:uiPriority w:val="99"/>
    <w:unhideWhenUsed/>
    <w:rsid w:val="009821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maa_Hassan@mustaqbal-college.edu.iq%20%20%20/ORCID%200000-0001-8638-02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2976</Words>
  <Characters>16967</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Seshu Kumar Vandrangi</cp:lastModifiedBy>
  <cp:revision>3</cp:revision>
  <dcterms:created xsi:type="dcterms:W3CDTF">2022-05-06T19:41:00Z</dcterms:created>
  <dcterms:modified xsi:type="dcterms:W3CDTF">2022-05-13T16:29:00Z</dcterms:modified>
</cp:coreProperties>
</file>